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A3F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4A3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КАБІНЕТ МІНІСТРІВ УКРАЇНИ </w:t>
      </w:r>
    </w:p>
    <w:p w:rsidR="00000000" w:rsidRDefault="00C14A3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ПОСТАНОВА </w:t>
      </w:r>
    </w:p>
    <w:p w:rsidR="00000000" w:rsidRDefault="00C14A3F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від 20 травня 2009 р. N 529 </w:t>
      </w:r>
    </w:p>
    <w:p w:rsidR="00000000" w:rsidRDefault="00C14A3F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Київ </w:t>
      </w:r>
    </w:p>
    <w:p w:rsidR="00000000" w:rsidRDefault="00C14A3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 </w:t>
      </w:r>
    </w:p>
    <w:p w:rsidR="00000000" w:rsidRDefault="00C14A3F">
      <w:pPr>
        <w:pStyle w:val="NormalWeb"/>
        <w:jc w:val="center"/>
        <w:rPr>
          <w:color w:val="000000"/>
        </w:rPr>
      </w:pPr>
      <w:r>
        <w:rPr>
          <w:color w:val="000000"/>
        </w:rPr>
        <w:t>Із змінами і доповненнями, внесеними</w:t>
      </w:r>
      <w:r>
        <w:rPr>
          <w:color w:val="000000"/>
        </w:rPr>
        <w:br/>
        <w:t> постаново</w:t>
      </w:r>
      <w:r>
        <w:rPr>
          <w:color w:val="000000"/>
        </w:rPr>
        <w:t>ю Кабінету Міністрів України</w:t>
      </w:r>
      <w:r>
        <w:rPr>
          <w:color w:val="000000"/>
        </w:rPr>
        <w:br/>
        <w:t> від 3 вересня 2009 року N 937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Кабінет Міністрів України </w:t>
      </w:r>
      <w:r>
        <w:rPr>
          <w:b/>
          <w:bCs/>
          <w:color w:val="000000"/>
        </w:rPr>
        <w:t>постановляє</w:t>
      </w:r>
      <w:r>
        <w:rPr>
          <w:color w:val="000000"/>
        </w:rPr>
        <w:t xml:space="preserve">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Затвердити такі, що додаються: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Порядок формування тарифів на послуги з утримання будинків і споруд та прибудинкових територій;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Типовий договір про нада</w:t>
      </w:r>
      <w:r>
        <w:rPr>
          <w:color w:val="000000"/>
        </w:rPr>
        <w:t xml:space="preserve">ння послуг з утримання будинків і споруд та прибудинкових територій.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Визнати такими, що втратили чинність: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постанову Кабінету Міністрів України від 12 липня 2005 р. N 560 "Про затвердження Порядку формування тарифів на послуги з утримання будинків і с</w:t>
      </w:r>
      <w:r>
        <w:rPr>
          <w:color w:val="000000"/>
        </w:rPr>
        <w:t xml:space="preserve">поруд та прибудинкових територій і типового договору про надання послуг з утримання будинків і споруд та прибудинкових територій" (Офіційний вісник України, 2005 р., N 28, ст. 1634);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пункт 2 змін, що вносяться до постанов Кабінету Міністрів України, затве</w:t>
      </w:r>
      <w:r>
        <w:rPr>
          <w:color w:val="000000"/>
        </w:rPr>
        <w:t xml:space="preserve">рджених постановою Кабінету Міністрів України від 27 лютого 2007 р. N 297 (Офіційний вісник України, 2007 р., N 16, ст. 586). 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9"/>
        <w:gridCol w:w="4910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Прем'єр-міністр України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Ю. ТИМОШЕНКО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Інд. 21 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>постановою Кабінету Міністрів України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від 20 травня 2009 р. N 529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</w:t>
      </w:r>
      <w:r>
        <w:rPr>
          <w:rFonts w:eastAsia="Times New Roman"/>
          <w:color w:val="000000"/>
        </w:rPr>
        <w:br/>
        <w:t xml:space="preserve">формування тарифів на послуги з утримання будинків і споруд та прибудинкових територій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Загальна частина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1. Цей Порядок визначає механізм формування тарифів на послуги з утримання будинків і споруд та прибудинкових т</w:t>
      </w:r>
      <w:r>
        <w:rPr>
          <w:color w:val="000000"/>
        </w:rPr>
        <w:t xml:space="preserve">ериторій (далі - послуги) і поширюється на суб'єктів господарювання всіх форм власності, які надають послуги (далі - виконавці), суб'єктів господарювання всіх форм власності, що спеціалізуються на виконанні окремих послуг, на умовах субпідрядних договорів </w:t>
      </w:r>
      <w:r>
        <w:rPr>
          <w:color w:val="000000"/>
        </w:rPr>
        <w:t xml:space="preserve">з виконавцями (далі - субпідрядники), органи місцевого самоврядування, власників житлових будинків (гуртожитків), власників (наймачів) квартир (житлових приміщень у гуртожитках), власників нежитлових приміщень у житлових будинках (гуртожитках).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Тарифи </w:t>
      </w:r>
      <w:r>
        <w:rPr>
          <w:color w:val="000000"/>
        </w:rPr>
        <w:t>(нормативні витрати, пов'язані з утриманням будинків і споруд та прибудинкових територій) розраховуються окремо за кожним будинком залежно від запланованих кількісних показників фактичного надання послуг з урахуванням забезпечення належного санітарно-гігіє</w:t>
      </w:r>
      <w:r>
        <w:rPr>
          <w:color w:val="000000"/>
        </w:rPr>
        <w:t xml:space="preserve">нічного, протипожежного, технічного стану будинків і споруд та прибудинкових територій з урахуванням типового переліку послуг з утримання будинків і споруд та прибудинкових територій згідно з додатком (далі - типовий перелік).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Виконавець доводить розрахун</w:t>
      </w:r>
      <w:r>
        <w:rPr>
          <w:color w:val="000000"/>
        </w:rPr>
        <w:t>ок тарифів до відома власників житлових будинків (гуртожитків), власників квартир (житлових приміщень у гуртожитках), власників нежитлових приміщень у житлових будинках (гуртожитках) та інших споживачів послуг шляхом проведення щодо кожного будинку громадс</w:t>
      </w:r>
      <w:r>
        <w:rPr>
          <w:color w:val="000000"/>
        </w:rPr>
        <w:t xml:space="preserve">ьких слухань.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За результатами громадських слухань перелік послуг за кожним будинком може бути зменшено виконавцем порівняно з типовим переліком за умови одержання у строк до 30 днів з дати проведення громадських слухань оформленого письмово в установленом</w:t>
      </w:r>
      <w:r>
        <w:rPr>
          <w:color w:val="000000"/>
        </w:rPr>
        <w:t>у законодавством порядку рішення власників житлових будинків (гуртожитків), власників квартир (житлових приміщень у гуртожитках), власників нежитлових приміщень у житлових будинках (гуртожитках) про забезпечення надання послуг, запропонований виконавцем пе</w:t>
      </w:r>
      <w:r>
        <w:rPr>
          <w:color w:val="000000"/>
        </w:rPr>
        <w:t xml:space="preserve">релік яких зменшено.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 разі коли перелік послуг зменшується, виконавець перераховує тарифи і подає новий розрахунок тарифів відповідному органові місцевого самоврядування, що приймає рішення про його затвердження (погодження).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З власниками (наймачами) кв</w:t>
      </w:r>
      <w:r>
        <w:rPr>
          <w:color w:val="000000"/>
        </w:rPr>
        <w:t>артир (житлових приміщень у гуртожитку) та власниками нежитлових приміщень у житловому будинку (гуртожитку) укладається договір про надання послуг з утримання будинків і споруд та прибудинкових територій (далі - договір про надання послуг), що передбачає н</w:t>
      </w:r>
      <w:r>
        <w:rPr>
          <w:color w:val="000000"/>
        </w:rPr>
        <w:t xml:space="preserve">адання послуг, перелік яких визначений за результатами громадських слухань згідно з типовим переліком.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Послуги надаються відповідно до затвердженого (погодженого) рішенням органу місцевого самоврядування тарифу, його структури, періодичності та строків на</w:t>
      </w:r>
      <w:r>
        <w:rPr>
          <w:color w:val="000000"/>
        </w:rPr>
        <w:t xml:space="preserve">дання послуг. Копія такого рішення є невід'ємною частиною договору про надання послуг.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3. Під час установлення тарифу на послуги необхідно забезпечувати прозорість визначення вартості усіх послуг з розрахунку на 1 кв. метр загальної площі квартири, житлов</w:t>
      </w:r>
      <w:r>
        <w:rPr>
          <w:color w:val="000000"/>
        </w:rPr>
        <w:t xml:space="preserve">ого приміщення у гуртожитку та нежитлового приміщення у житловому будинку (гуртожитку).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4. Нормативні витрати з надання послуг для гуртожитків, що призначаються для проживання одиноких громадян (житловими приміщеннями спільно користуються кілька осіб, які</w:t>
      </w:r>
      <w:r>
        <w:rPr>
          <w:color w:val="000000"/>
        </w:rPr>
        <w:t xml:space="preserve"> не перебувають у сімейних стосунках), розраховуються згідно з цим Порядком. Вартість послуг у розрахунку на ліжко-місце визначається як добуток тарифу на норму житлової площі для однієї особи в гуртожитку.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Розрахунок нормативних витрат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 Калькуляційною одиницею є 1 кв. метр загальної площі квартири (житлового приміщення у гуртожитку), нежитлового приміщення у житловому будинку (гуртожитку).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 Під час розрахунку нормативних витрат враховуються: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середньомісячні витрати з оплати праці (</w:t>
      </w:r>
      <w:r>
        <w:rPr>
          <w:color w:val="000000"/>
        </w:rPr>
        <w:t xml:space="preserve">далі - заробітна плата) та середньомісячні матеріальні витрати на рік окремо за статтями експлуатаційних витрат;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плановані трудовитрати, що не можуть перевищувати розмір, передбачений нормами часу та нормами обслуговування для робітників і виробничого пер</w:t>
      </w:r>
      <w:r>
        <w:rPr>
          <w:color w:val="000000"/>
        </w:rPr>
        <w:t xml:space="preserve">соналу, що встановлюються центральним органом виконавчої влади з питань житлово-комунального господарства. </w:t>
      </w:r>
    </w:p>
    <w:p w:rsidR="00000000" w:rsidRDefault="00C14A3F">
      <w:pPr>
        <w:pStyle w:val="NormalWeb"/>
        <w:jc w:val="both"/>
      </w:pPr>
      <w:r>
        <w:rPr>
          <w:color w:val="000000"/>
        </w:rPr>
        <w:t>7. Витрати з прибирання прибудинкової території (В</w:t>
      </w:r>
      <w:r>
        <w:rPr>
          <w:color w:val="000000"/>
          <w:vertAlign w:val="subscript"/>
        </w:rPr>
        <w:t>пт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пт</w:t>
            </w:r>
            <w:r>
              <w:rPr>
                <w:color w:val="000000"/>
              </w:rPr>
              <w:t xml:space="preserve"> = (О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+ Н + М + І)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О</w:t>
      </w:r>
      <w:r>
        <w:rPr>
          <w:color w:val="000000"/>
          <w:vertAlign w:val="subscript"/>
        </w:rPr>
        <w:t>з</w:t>
      </w:r>
      <w:r>
        <w:rPr>
          <w:color w:val="000000"/>
        </w:rPr>
        <w:t xml:space="preserve"> - заробітна плата; В</w:t>
      </w:r>
      <w:r>
        <w:rPr>
          <w:color w:val="000000"/>
          <w:vertAlign w:val="subscript"/>
        </w:rPr>
        <w:t>ф</w:t>
      </w:r>
      <w:r>
        <w:rPr>
          <w:color w:val="000000"/>
        </w:rPr>
        <w:t xml:space="preserve"> </w:t>
      </w:r>
      <w:r>
        <w:rPr>
          <w:color w:val="000000"/>
        </w:rPr>
        <w:t>- відрахування із заробітної плати внесків до Пенсійного фонду України та інших фондів соціального страхування; Н - накладні витрати; М - матеріальні витрати; І - обов'язкові платежі до бюджету; П</w:t>
      </w:r>
      <w:r>
        <w:rPr>
          <w:color w:val="000000"/>
          <w:vertAlign w:val="subscript"/>
        </w:rPr>
        <w:t>з</w:t>
      </w:r>
      <w:r>
        <w:rPr>
          <w:color w:val="000000"/>
        </w:rPr>
        <w:t xml:space="preserve"> - сумарна загальна площа квартир (житлових приміщень у гур</w:t>
      </w:r>
      <w:r>
        <w:rPr>
          <w:color w:val="000000"/>
        </w:rPr>
        <w:t xml:space="preserve">тожитку) та нежитлових приміщень у житловому будинку (гуртожитку). </w:t>
      </w:r>
    </w:p>
    <w:p w:rsidR="00000000" w:rsidRDefault="00C14A3F">
      <w:pPr>
        <w:pStyle w:val="NormalWeb"/>
        <w:jc w:val="both"/>
      </w:pPr>
      <w:r>
        <w:rPr>
          <w:color w:val="000000"/>
        </w:rPr>
        <w:t>8. Витрати з прибирання сходових кліток (В</w:t>
      </w:r>
      <w:r>
        <w:rPr>
          <w:color w:val="000000"/>
          <w:vertAlign w:val="subscript"/>
        </w:rPr>
        <w:t>с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(О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+ Н + М + І):П</w:t>
            </w:r>
            <w:r>
              <w:rPr>
                <w:color w:val="000000"/>
                <w:vertAlign w:val="subscript"/>
              </w:rPr>
              <w:t>зжн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П</w:t>
      </w:r>
      <w:r>
        <w:rPr>
          <w:color w:val="000000"/>
          <w:vertAlign w:val="subscript"/>
        </w:rPr>
        <w:t>зжн</w:t>
      </w:r>
      <w:r>
        <w:rPr>
          <w:color w:val="000000"/>
        </w:rPr>
        <w:t xml:space="preserve"> - сумарна загальна площа квартир (житлових приміщень у гуртожитку) та </w:t>
      </w:r>
      <w:r>
        <w:rPr>
          <w:color w:val="000000"/>
        </w:rPr>
        <w:t xml:space="preserve">нежитлових приміщень у житловому будинку (гуртожитку), які мають окремі виходи безпосередньо на сходові клітки, що влаштовані з урахуванням вимог державних будівельних норм та зазначені у технічних паспортах на нежитлові приміщення. </w:t>
      </w:r>
    </w:p>
    <w:p w:rsidR="00000000" w:rsidRDefault="00C14A3F">
      <w:pPr>
        <w:pStyle w:val="NormalWeb"/>
        <w:jc w:val="both"/>
      </w:pPr>
      <w:r>
        <w:rPr>
          <w:color w:val="000000"/>
        </w:rPr>
        <w:lastRenderedPageBreak/>
        <w:t>9. Витрати з вивезення</w:t>
      </w:r>
      <w:r>
        <w:rPr>
          <w:color w:val="000000"/>
        </w:rPr>
        <w:t xml:space="preserve"> побутових відходів (збирання, зберігання, перевезення, перероблення, утилізація, знешкодження та захоронення), нараховані для фізичних осіб, реєстрація місця проживання яких здійснена за адресою житлового будинку (гуртожитку), (В</w:t>
      </w:r>
      <w:r>
        <w:rPr>
          <w:color w:val="000000"/>
          <w:vertAlign w:val="subscript"/>
        </w:rPr>
        <w:t>фо</w:t>
      </w:r>
      <w:r>
        <w:rPr>
          <w:color w:val="000000"/>
        </w:rPr>
        <w:t>) визначаються за формул</w:t>
      </w:r>
      <w:r>
        <w:rPr>
          <w:color w:val="000000"/>
        </w:rPr>
        <w:t xml:space="preserve">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фо</w:t>
            </w:r>
            <w:r>
              <w:rPr>
                <w:color w:val="000000"/>
              </w:rPr>
              <w:t xml:space="preserve"> = (В</w:t>
            </w:r>
            <w:r>
              <w:rPr>
                <w:color w:val="000000"/>
                <w:vertAlign w:val="subscript"/>
              </w:rPr>
              <w:t>тв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вв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рв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рі</w:t>
            </w:r>
            <w:r>
              <w:rPr>
                <w:color w:val="000000"/>
              </w:rPr>
              <w:t>) : П</w:t>
            </w:r>
            <w:r>
              <w:rPr>
                <w:color w:val="000000"/>
                <w:vertAlign w:val="subscript"/>
              </w:rPr>
              <w:t>зж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</w:pPr>
      <w:r>
        <w:rPr>
          <w:color w:val="000000"/>
        </w:rPr>
        <w:t>де П</w:t>
      </w:r>
      <w:r>
        <w:rPr>
          <w:color w:val="000000"/>
          <w:vertAlign w:val="subscript"/>
        </w:rPr>
        <w:t>зж</w:t>
      </w:r>
      <w:r>
        <w:rPr>
          <w:color w:val="000000"/>
        </w:rPr>
        <w:t xml:space="preserve"> - сумарна загальна площа квартир (житлових приміщень у гуртожитку); В</w:t>
      </w:r>
      <w:r>
        <w:rPr>
          <w:color w:val="000000"/>
          <w:vertAlign w:val="subscript"/>
        </w:rPr>
        <w:t>тв</w:t>
      </w:r>
      <w:r>
        <w:rPr>
          <w:color w:val="000000"/>
        </w:rPr>
        <w:t xml:space="preserve"> </w:t>
      </w:r>
      <w:r>
        <w:rPr>
          <w:color w:val="000000"/>
        </w:rPr>
        <w:t xml:space="preserve">- вартість вивезення твердих відходів (збирання, зберігання, перевезення, перероблення, утилізація, знешкодження та захоронення), що визначається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тв</w:t>
            </w:r>
            <w:r>
              <w:rPr>
                <w:color w:val="000000"/>
              </w:rPr>
              <w:t xml:space="preserve"> = К</w:t>
            </w:r>
            <w:r>
              <w:rPr>
                <w:color w:val="000000"/>
                <w:vertAlign w:val="subscript"/>
              </w:rPr>
              <w:t>фо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тв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тв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К</w:t>
      </w:r>
      <w:r>
        <w:rPr>
          <w:color w:val="000000"/>
          <w:vertAlign w:val="subscript"/>
        </w:rPr>
        <w:t>фо</w:t>
      </w:r>
      <w:r>
        <w:rPr>
          <w:color w:val="000000"/>
        </w:rPr>
        <w:t xml:space="preserve"> - кількість фізичних осіб, реєстрація місця проживання яких з</w:t>
      </w:r>
      <w:r>
        <w:rPr>
          <w:color w:val="000000"/>
        </w:rPr>
        <w:t>дійснена за адресою житлового будинку (гуртожитку); Н</w:t>
      </w:r>
      <w:r>
        <w:rPr>
          <w:color w:val="000000"/>
          <w:vertAlign w:val="subscript"/>
        </w:rPr>
        <w:t>тв</w:t>
      </w:r>
      <w:r>
        <w:rPr>
          <w:color w:val="000000"/>
        </w:rPr>
        <w:t xml:space="preserve"> - норма вивезення твердих відходів у куб. метрах на одну фізичну особу в розрахунку на місяць, що затверджується органом місцевого самоврядування в установленому порядку; Т</w:t>
      </w:r>
      <w:r>
        <w:rPr>
          <w:color w:val="000000"/>
          <w:vertAlign w:val="subscript"/>
        </w:rPr>
        <w:t>тв</w:t>
      </w:r>
      <w:r>
        <w:rPr>
          <w:color w:val="000000"/>
        </w:rPr>
        <w:t xml:space="preserve"> - тариф на вивезення 1 ку</w:t>
      </w:r>
      <w:r>
        <w:rPr>
          <w:color w:val="000000"/>
        </w:rPr>
        <w:t xml:space="preserve">б. метра твердих відходів (без урахування податку на додану вартість), затверджений (погоджений) органом місцевого самоврядування; </w:t>
      </w:r>
    </w:p>
    <w:p w:rsidR="00000000" w:rsidRDefault="00C14A3F">
      <w:pPr>
        <w:pStyle w:val="NormalWeb"/>
        <w:jc w:val="both"/>
      </w:pPr>
      <w:r>
        <w:rPr>
          <w:color w:val="000000"/>
        </w:rPr>
        <w:t>В</w:t>
      </w:r>
      <w:r>
        <w:rPr>
          <w:color w:val="000000"/>
          <w:vertAlign w:val="subscript"/>
        </w:rPr>
        <w:t>вв</w:t>
      </w:r>
      <w:r>
        <w:rPr>
          <w:color w:val="000000"/>
        </w:rPr>
        <w:t xml:space="preserve"> - вартість вивезення великогабаритних відходів (збирання, зберігання, перевезення, перероблення, утилізація, знешкодженн</w:t>
      </w:r>
      <w:r>
        <w:rPr>
          <w:color w:val="000000"/>
        </w:rPr>
        <w:t xml:space="preserve">я та захоронення), що визначається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вв</w:t>
            </w:r>
            <w:r>
              <w:rPr>
                <w:color w:val="000000"/>
              </w:rPr>
              <w:t xml:space="preserve"> = К</w:t>
            </w:r>
            <w:r>
              <w:rPr>
                <w:color w:val="000000"/>
                <w:vertAlign w:val="subscript"/>
              </w:rPr>
              <w:t>фо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вв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вв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Н</w:t>
      </w:r>
      <w:r>
        <w:rPr>
          <w:color w:val="000000"/>
          <w:vertAlign w:val="subscript"/>
        </w:rPr>
        <w:t>вв</w:t>
      </w:r>
      <w:r>
        <w:rPr>
          <w:color w:val="000000"/>
        </w:rPr>
        <w:t xml:space="preserve"> </w:t>
      </w:r>
      <w:r>
        <w:rPr>
          <w:color w:val="000000"/>
        </w:rPr>
        <w:t>- норма вивезення великогабаритних відходів у куб. метрах на одну фізичну особу в розрахунку на місяць, що затверджується органом місцевого самоврядування в установленому порядку; Т</w:t>
      </w:r>
      <w:r>
        <w:rPr>
          <w:color w:val="000000"/>
          <w:vertAlign w:val="subscript"/>
        </w:rPr>
        <w:t>вв</w:t>
      </w:r>
      <w:r>
        <w:rPr>
          <w:color w:val="000000"/>
        </w:rPr>
        <w:t xml:space="preserve"> - тариф на вивезення 1 куб. метра великогабаритних відходів (без урахува</w:t>
      </w:r>
      <w:r>
        <w:rPr>
          <w:color w:val="000000"/>
        </w:rPr>
        <w:t xml:space="preserve">ння податку на додану вартість), затверджений (погоджений) органом місцевого самоврядування; </w:t>
      </w:r>
    </w:p>
    <w:p w:rsidR="00000000" w:rsidRDefault="00C14A3F">
      <w:pPr>
        <w:pStyle w:val="NormalWeb"/>
        <w:jc w:val="both"/>
      </w:pPr>
      <w:r>
        <w:rPr>
          <w:color w:val="000000"/>
        </w:rPr>
        <w:t>В</w:t>
      </w:r>
      <w:r>
        <w:rPr>
          <w:color w:val="000000"/>
          <w:vertAlign w:val="subscript"/>
        </w:rPr>
        <w:t>рв</w:t>
      </w:r>
      <w:r>
        <w:rPr>
          <w:color w:val="000000"/>
        </w:rPr>
        <w:t xml:space="preserve"> - вартість вивезення ремонтних відходів (збирання, зберігання, перевезення, перероблення, утилізація, знешкодження та захоронення), що визначається за формуло</w:t>
      </w:r>
      <w:r>
        <w:rPr>
          <w:color w:val="000000"/>
        </w:rPr>
        <w:t xml:space="preserve">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рв</w:t>
            </w:r>
            <w:r>
              <w:rPr>
                <w:color w:val="000000"/>
              </w:rPr>
              <w:t xml:space="preserve"> = К</w:t>
            </w:r>
            <w:r>
              <w:rPr>
                <w:color w:val="000000"/>
                <w:vertAlign w:val="subscript"/>
              </w:rPr>
              <w:t>фо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рв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рв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Н</w:t>
      </w:r>
      <w:r>
        <w:rPr>
          <w:color w:val="000000"/>
          <w:vertAlign w:val="subscript"/>
        </w:rPr>
        <w:t>рв</w:t>
      </w:r>
      <w:r>
        <w:rPr>
          <w:color w:val="000000"/>
        </w:rPr>
        <w:t xml:space="preserve"> - норма вивезення ремонтних відходів у куб. метрах на одну фізичну особу в розрахунку на місяць, що затверджується органом місцевого самоврядування в установленому порядку; Т</w:t>
      </w:r>
      <w:r>
        <w:rPr>
          <w:color w:val="000000"/>
          <w:vertAlign w:val="subscript"/>
        </w:rPr>
        <w:t>рв</w:t>
      </w:r>
      <w:r>
        <w:rPr>
          <w:color w:val="000000"/>
        </w:rPr>
        <w:t xml:space="preserve"> </w:t>
      </w:r>
      <w:r>
        <w:rPr>
          <w:color w:val="000000"/>
        </w:rPr>
        <w:t xml:space="preserve">- тариф на вивезення 1 куб. метра ремонтних відходів (без урахування податку на додану вартість), затверджений (погоджений) органом місцевого самоврядування; </w:t>
      </w:r>
    </w:p>
    <w:p w:rsidR="00000000" w:rsidRDefault="00C14A3F">
      <w:pPr>
        <w:pStyle w:val="NormalWeb"/>
        <w:jc w:val="both"/>
      </w:pPr>
      <w:r>
        <w:rPr>
          <w:color w:val="000000"/>
        </w:rPr>
        <w:lastRenderedPageBreak/>
        <w:t>В</w:t>
      </w:r>
      <w:r>
        <w:rPr>
          <w:color w:val="000000"/>
          <w:vertAlign w:val="subscript"/>
        </w:rPr>
        <w:t>рі</w:t>
      </w:r>
      <w:r>
        <w:rPr>
          <w:color w:val="000000"/>
        </w:rPr>
        <w:t xml:space="preserve"> - вартість вивезення рідких відходів (збирання, зберігання, перевезення, перероблення, утиліз</w:t>
      </w:r>
      <w:r>
        <w:rPr>
          <w:color w:val="000000"/>
        </w:rPr>
        <w:t xml:space="preserve">ація, знешкодження та захоронення), що утворюються в будинку за відсутності централізованого водопостачання та каналізації і зберігаються у вигрібних ямах, визначається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рі</w:t>
            </w:r>
            <w:r>
              <w:rPr>
                <w:color w:val="000000"/>
              </w:rPr>
              <w:t xml:space="preserve"> = К</w:t>
            </w:r>
            <w:r>
              <w:rPr>
                <w:color w:val="000000"/>
                <w:vertAlign w:val="subscript"/>
              </w:rPr>
              <w:t>фо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рі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рі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Н</w:t>
      </w:r>
      <w:r>
        <w:rPr>
          <w:color w:val="000000"/>
          <w:vertAlign w:val="subscript"/>
        </w:rPr>
        <w:t>рі</w:t>
      </w:r>
      <w:r>
        <w:rPr>
          <w:color w:val="000000"/>
        </w:rPr>
        <w:t xml:space="preserve"> - норма вивезення рідких відходів у ку</w:t>
      </w:r>
      <w:r>
        <w:rPr>
          <w:color w:val="000000"/>
        </w:rPr>
        <w:t>б. метрах на одну фізичну особу в розрахунку на місяць, що затверджується органом місцевого самоврядування в установленому порядку; Т</w:t>
      </w:r>
      <w:r>
        <w:rPr>
          <w:color w:val="000000"/>
          <w:vertAlign w:val="subscript"/>
        </w:rPr>
        <w:t>рі</w:t>
      </w:r>
      <w:r>
        <w:rPr>
          <w:color w:val="000000"/>
        </w:rPr>
        <w:t xml:space="preserve"> - тариф на вивезення 1 куб. метра рідких відходів (без урахування податку на додану вартість), затверджений (погоджений)</w:t>
      </w:r>
      <w:r>
        <w:rPr>
          <w:color w:val="000000"/>
        </w:rPr>
        <w:t xml:space="preserve"> органом місцевого самоврядування. </w:t>
      </w:r>
    </w:p>
    <w:p w:rsidR="00000000" w:rsidRDefault="00C14A3F">
      <w:pPr>
        <w:pStyle w:val="NormalWeb"/>
        <w:jc w:val="both"/>
      </w:pPr>
      <w:r>
        <w:rPr>
          <w:color w:val="000000"/>
        </w:rPr>
        <w:t>Витрати з вивезення побутових відходів, що утворилися в результаті діяльності підприємств, установ та організацій, які розташовані у нежитлових приміщеннях житлового будинку (гуртожитку), (В</w:t>
      </w:r>
      <w:r>
        <w:rPr>
          <w:color w:val="000000"/>
          <w:vertAlign w:val="subscript"/>
        </w:rPr>
        <w:t>по</w:t>
      </w:r>
      <w:r>
        <w:rPr>
          <w:color w:val="000000"/>
        </w:rPr>
        <w:t>) не включаються у розрахуно</w:t>
      </w:r>
      <w:r>
        <w:rPr>
          <w:color w:val="000000"/>
        </w:rPr>
        <w:t>к нормативних витрат, пов'язаних з утриманням будинків і споруд та прибудинкових територій для власників квартир (житлових приміщень у гуртожитку), і визначаються окремо для кожного підприємства, установи та організації залежно від виду діяльності за форму</w:t>
      </w:r>
      <w:r>
        <w:rPr>
          <w:color w:val="000000"/>
        </w:rPr>
        <w:t xml:space="preserve">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по</w:t>
            </w:r>
            <w:r>
              <w:rPr>
                <w:color w:val="000000"/>
              </w:rPr>
              <w:t xml:space="preserve"> = Н</w:t>
            </w:r>
            <w:r>
              <w:rPr>
                <w:color w:val="000000"/>
                <w:vertAlign w:val="subscript"/>
              </w:rPr>
              <w:t>по</w:t>
            </w:r>
            <w:r>
              <w:rPr>
                <w:color w:val="000000"/>
              </w:rPr>
              <w:t xml:space="preserve"> х К</w:t>
            </w:r>
            <w:r>
              <w:rPr>
                <w:color w:val="000000"/>
                <w:vertAlign w:val="subscript"/>
              </w:rPr>
              <w:t>ор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по</w:t>
            </w:r>
            <w:r>
              <w:rPr>
                <w:color w:val="000000"/>
              </w:rPr>
              <w:t xml:space="preserve"> : П</w:t>
            </w:r>
            <w:r>
              <w:rPr>
                <w:color w:val="000000"/>
                <w:vertAlign w:val="subscript"/>
              </w:rPr>
              <w:t>зн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Н</w:t>
      </w:r>
      <w:r>
        <w:rPr>
          <w:color w:val="000000"/>
          <w:vertAlign w:val="subscript"/>
        </w:rPr>
        <w:t>по</w:t>
      </w:r>
      <w:r>
        <w:rPr>
          <w:color w:val="000000"/>
        </w:rPr>
        <w:t xml:space="preserve"> - норма вивезення побутових відходів у куб. метрах на місяць, що затверджується органом місцевого самоврядування, для підприємств, установ та організацій, які розташовані у нежитлових приміщеннях житлового буд</w:t>
      </w:r>
      <w:r>
        <w:rPr>
          <w:color w:val="000000"/>
        </w:rPr>
        <w:t>инку (гуртожитку) на одиницю розрахунку (місце в готелі, робоче або учнівське місце, кв. метр площі тощо); К</w:t>
      </w:r>
      <w:r>
        <w:rPr>
          <w:color w:val="000000"/>
          <w:vertAlign w:val="subscript"/>
        </w:rPr>
        <w:t>ор</w:t>
      </w:r>
      <w:r>
        <w:rPr>
          <w:color w:val="000000"/>
        </w:rPr>
        <w:t xml:space="preserve"> - кількість таких одиниць розрахунку; Т</w:t>
      </w:r>
      <w:r>
        <w:rPr>
          <w:color w:val="000000"/>
          <w:vertAlign w:val="subscript"/>
        </w:rPr>
        <w:t>по</w:t>
      </w:r>
      <w:r>
        <w:rPr>
          <w:color w:val="000000"/>
        </w:rPr>
        <w:t xml:space="preserve"> - тариф на вивезення 1 куб. метра побутових відходів (без урахування податку на додану вартість), затве</w:t>
      </w:r>
      <w:r>
        <w:rPr>
          <w:color w:val="000000"/>
        </w:rPr>
        <w:t>рджений (погоджений) органом місцевого самоврядування; П</w:t>
      </w:r>
      <w:r>
        <w:rPr>
          <w:color w:val="000000"/>
          <w:vertAlign w:val="subscript"/>
        </w:rPr>
        <w:t>зн</w:t>
      </w:r>
      <w:r>
        <w:rPr>
          <w:color w:val="000000"/>
        </w:rPr>
        <w:t xml:space="preserve"> - загальна площа нежитлових приміщень, в яких розташоване підприємство, установа та організація.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У разі коли виконавець власними силами проводить деякі операції поводження з побутовими відходами (</w:t>
      </w:r>
      <w:r>
        <w:rPr>
          <w:color w:val="000000"/>
        </w:rPr>
        <w:t>збирання, зберігання, перевезення, перероблення, утилізація, знешкодження та захоронення), їх вартість розраховується виходячи з планованої собівартості відповідно до Порядку формування тарифів на послуги з вивезення побутових відходів, затвердженого поста</w:t>
      </w:r>
      <w:r>
        <w:rPr>
          <w:color w:val="000000"/>
        </w:rPr>
        <w:t xml:space="preserve">новою Кабінету Міністрів України від 26 липня 2006 р. N 1010 (Офіційний вісник України, 2006 р., N 30, ст. 2137).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Послуга з вивезення побутових відходів може бути визначена згідно з рішенням органу місцевого самоврядування як окрема комунальна послуга. У </w:t>
      </w:r>
      <w:r>
        <w:rPr>
          <w:color w:val="000000"/>
        </w:rPr>
        <w:t xml:space="preserve">такому разі тариф на послуги з утримання будинків і споруд та прибудинкових територій визначається без урахування витрат з вивезення побутових відходів.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10. Витрати з прибирання підвалу, технічних поверхів та покрівлі (В</w:t>
      </w:r>
      <w:r>
        <w:rPr>
          <w:color w:val="000000"/>
          <w:vertAlign w:val="subscript"/>
        </w:rPr>
        <w:t>т</w:t>
      </w:r>
      <w:r>
        <w:rPr>
          <w:color w:val="000000"/>
        </w:rPr>
        <w:t>) визначаються за формулою, наведе</w:t>
      </w:r>
      <w:r>
        <w:rPr>
          <w:color w:val="000000"/>
        </w:rPr>
        <w:t xml:space="preserve">ною в пункті 7. </w:t>
      </w:r>
    </w:p>
    <w:p w:rsidR="00000000" w:rsidRDefault="00C14A3F">
      <w:pPr>
        <w:pStyle w:val="NormalWeb"/>
        <w:jc w:val="both"/>
      </w:pPr>
      <w:r>
        <w:rPr>
          <w:color w:val="000000"/>
        </w:rPr>
        <w:t>11. Витрати з технічного обслуговування ліфтів (В</w:t>
      </w:r>
      <w:r>
        <w:rPr>
          <w:color w:val="000000"/>
          <w:vertAlign w:val="subscript"/>
        </w:rPr>
        <w:t>лз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lastRenderedPageBreak/>
              <w:t>В</w:t>
            </w:r>
            <w:r>
              <w:rPr>
                <w:color w:val="000000"/>
                <w:vertAlign w:val="subscript"/>
              </w:rPr>
              <w:t>лз</w:t>
            </w:r>
            <w:r>
              <w:rPr>
                <w:color w:val="000000"/>
              </w:rPr>
              <w:t xml:space="preserve"> = В</w:t>
            </w:r>
            <w:r>
              <w:rPr>
                <w:color w:val="000000"/>
                <w:vertAlign w:val="subscript"/>
              </w:rPr>
              <w:t>л</w:t>
            </w:r>
            <w:r>
              <w:rPr>
                <w:color w:val="000000"/>
              </w:rPr>
              <w:t xml:space="preserve"> х К</w:t>
            </w:r>
            <w:r>
              <w:rPr>
                <w:color w:val="000000"/>
                <w:vertAlign w:val="subscript"/>
              </w:rPr>
              <w:t>л</w:t>
            </w:r>
            <w:r>
              <w:rPr>
                <w:color w:val="000000"/>
              </w:rPr>
              <w:t xml:space="preserve"> : П</w:t>
            </w:r>
            <w:r>
              <w:rPr>
                <w:color w:val="000000"/>
                <w:vertAlign w:val="subscript"/>
              </w:rPr>
              <w:t>зл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В</w:t>
      </w:r>
      <w:r>
        <w:rPr>
          <w:color w:val="000000"/>
          <w:vertAlign w:val="subscript"/>
        </w:rPr>
        <w:t>л</w:t>
      </w:r>
      <w:r>
        <w:rPr>
          <w:color w:val="000000"/>
        </w:rPr>
        <w:t xml:space="preserve"> - вартість обслуговування (без електроенергії) одного ліфта у розрахунку на місяць (обчислюється відповідно до </w:t>
      </w:r>
      <w:r>
        <w:rPr>
          <w:color w:val="000000"/>
        </w:rPr>
        <w:t>Порядку встановлення вартості технічного обслуговування ліфтів та систем диспетчеризації, затвердженого центральним органом виконавчої влади з питань житлово-комунального господарства); К</w:t>
      </w:r>
      <w:r>
        <w:rPr>
          <w:color w:val="000000"/>
          <w:vertAlign w:val="subscript"/>
        </w:rPr>
        <w:t>л</w:t>
      </w:r>
      <w:r>
        <w:rPr>
          <w:color w:val="000000"/>
        </w:rPr>
        <w:t xml:space="preserve"> - кількість ліфтів у житловому будинку (гуртожитку); П</w:t>
      </w:r>
      <w:r>
        <w:rPr>
          <w:color w:val="000000"/>
          <w:vertAlign w:val="subscript"/>
        </w:rPr>
        <w:t>зл</w:t>
      </w:r>
      <w:r>
        <w:rPr>
          <w:color w:val="000000"/>
        </w:rPr>
        <w:t xml:space="preserve"> - сумарна </w:t>
      </w:r>
      <w:r>
        <w:rPr>
          <w:color w:val="000000"/>
        </w:rPr>
        <w:t>загальна площа квартир (житлових приміщень у гуртожитку), нежитлових приміщень у житловому будинку (гуртожитку) (крім квартир першого поверху та нежитлових приміщень у житловому будинку (гуртожитку), що не мають окремих виходів безпосередньо на сходові клі</w:t>
      </w:r>
      <w:r>
        <w:rPr>
          <w:color w:val="000000"/>
        </w:rPr>
        <w:t xml:space="preserve">тки). </w:t>
      </w:r>
    </w:p>
    <w:p w:rsidR="00000000" w:rsidRDefault="00C14A3F">
      <w:pPr>
        <w:pStyle w:val="NormalWeb"/>
        <w:jc w:val="both"/>
      </w:pPr>
      <w:r>
        <w:rPr>
          <w:color w:val="000000"/>
        </w:rPr>
        <w:t>12. Витрати з обслуговування систем диспетчеризації (підтримання в робочому стані систем у ліфті, на вході до ліфта та на робочому місці диспетчера) (В</w:t>
      </w:r>
      <w:r>
        <w:rPr>
          <w:color w:val="000000"/>
          <w:vertAlign w:val="subscript"/>
        </w:rPr>
        <w:t>сд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сд</w:t>
            </w:r>
            <w:r>
              <w:rPr>
                <w:color w:val="000000"/>
              </w:rPr>
              <w:t xml:space="preserve"> = (О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+ Н + М + І) : П</w:t>
            </w:r>
            <w:r>
              <w:rPr>
                <w:color w:val="000000"/>
                <w:vertAlign w:val="subscript"/>
              </w:rPr>
              <w:t>зл</w:t>
            </w:r>
            <w:r>
              <w:rPr>
                <w:color w:val="000000"/>
              </w:rPr>
              <w:t>.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13. Витрати з технічного об</w:t>
      </w:r>
      <w:r>
        <w:rPr>
          <w:color w:val="000000"/>
        </w:rPr>
        <w:t>слуговування внутрішньобудинкових систем гарячого і холодного водопостачання, водовідведення, теплопостачання і зливової каналізації та з ліквідації аварій у внутрішньоквартирних мережах визначаються окремо за кожною інженерною системою згідно з договорами</w:t>
      </w:r>
      <w:r>
        <w:rPr>
          <w:color w:val="000000"/>
        </w:rPr>
        <w:t xml:space="preserve">, укладеними між виконавцем та субпідрядниками, які здійснюють утримання внутрішньобудинкових систем.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Внутрішньобудинковою системою: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гарячого водопостачання є система від першої розташованої в будинку по ходу гарячої води запірної гідравлічної арматури н</w:t>
      </w:r>
      <w:r>
        <w:rPr>
          <w:color w:val="000000"/>
        </w:rPr>
        <w:t>а підвідному трубопроводі до останньої розташованої в будинку по ходу гарячої води запірної гідравлічної арматури (якщо будинок не обладнаний загальнобудинковим лічильником гарячої води) або до останньої перед загальнобудинковим лічильником запірної гідрав</w:t>
      </w:r>
      <w:r>
        <w:rPr>
          <w:color w:val="000000"/>
        </w:rPr>
        <w:t xml:space="preserve">лічної арматури по ходу гарячої води на зворотному трубопроводі, за винятком внутрішньоквартирних мереж, які починаються з трійника (врізки), що не належить до внутрішньоквартирної мережі, у стояк такої системи;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холодного водопостачання - система від перш</w:t>
      </w:r>
      <w:r>
        <w:rPr>
          <w:color w:val="000000"/>
        </w:rPr>
        <w:t>ої розташованої в будинку по ходу холодної води запірної гідравлічної арматури (якщо будинок не обладнаний загальнобудинковим лічильником холодної води) або першої запірної гідравлічної арматури після загальнобудинкового лічильника, за винятком внутрішньок</w:t>
      </w:r>
      <w:r>
        <w:rPr>
          <w:color w:val="000000"/>
        </w:rPr>
        <w:t xml:space="preserve">вартирних мереж, які починаються з трійника (врізки), що не належить до внутрішньоквартирної мережі, у стояк такої системи;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водовідведення - система від місця скидання стоків у перший колодязь на випуску з будинку (колодязь не належить до внутрішньобудинк</w:t>
      </w:r>
      <w:r>
        <w:rPr>
          <w:color w:val="000000"/>
        </w:rPr>
        <w:t xml:space="preserve">ової системи) до трійника (врізки) внутрішньоквартирної мережі, що не належить до внутрішньоквартирної мережі, у стояк такої системи;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теплопостачання - система від першої запірної гідравлічної арматури по ходу теплоносія на підвідному трубопроводі (якщо б</w:t>
      </w:r>
      <w:r>
        <w:rPr>
          <w:color w:val="000000"/>
        </w:rPr>
        <w:t xml:space="preserve">удинок не обладнаний елеваторним вузлом) або останньої розташованої в елеваторному вузлі запірної гідравлічної арматури по ходу теплоносія на підвідному трубопроводі до останньої запірної гідравлічної арматури по ходу теплоносія на </w:t>
      </w:r>
      <w:r>
        <w:rPr>
          <w:color w:val="000000"/>
        </w:rPr>
        <w:lastRenderedPageBreak/>
        <w:t xml:space="preserve">зворотному трубопроводі </w:t>
      </w:r>
      <w:r>
        <w:rPr>
          <w:color w:val="000000"/>
        </w:rPr>
        <w:t>в будинку (якщо будинок не обладнано елеваторним вузлом) або першої розташованої в елеваторному вузлі запірної гідравлічної арматури по ходу теплоносія на зворотному трубопроводі в будинку, за винятком внутрішньоквартирних мереж, які починаються з трійника</w:t>
      </w:r>
      <w:r>
        <w:rPr>
          <w:color w:val="000000"/>
        </w:rPr>
        <w:t xml:space="preserve"> (врізки), що не належить до внутрішньоквартирної мережі, у стояк такої системи.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Загальна вартість технічного обслуговування внутрішньобудинкових інженерних систем визначається як сума вартості технічного обслуговування наявних у житловому будинку (гуртож</w:t>
      </w:r>
      <w:r>
        <w:rPr>
          <w:color w:val="000000"/>
        </w:rPr>
        <w:t xml:space="preserve">итку) внутрішньобудинкових систем.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За наявності обладнання для підкачування води, що перебуває на балансі суб'єкта господарювання всіх форм власності, який надає послуги з утримання будинків і споруд та прибудинкових територій, вартість його обслуговуванн</w:t>
      </w:r>
      <w:r>
        <w:rPr>
          <w:color w:val="000000"/>
        </w:rPr>
        <w:t xml:space="preserve">я відшкодовує виконавець (виробник) послуг з водопостачання.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Роботи з промивання системи опалення виконуються за рахунок коштів виконавця (виробника) послуг з теплопостачання.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Вартість виконання робіт з гідравлічного випробування внутрішньобудинкових сис</w:t>
      </w:r>
      <w:r>
        <w:rPr>
          <w:color w:val="000000"/>
        </w:rPr>
        <w:t xml:space="preserve">тем теплопостачання з урахуванням вартості води враховується під час визначення витрат з технічного обслуговування внутрішньобудинкових систем теплопостачання.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Примірний перелік робіт з технічного обслуговування визначається центральним органом виконавчої</w:t>
      </w:r>
      <w:r>
        <w:rPr>
          <w:color w:val="000000"/>
        </w:rPr>
        <w:t xml:space="preserve"> влади з питань житлово-комунального господарства. </w:t>
      </w:r>
    </w:p>
    <w:p w:rsidR="00000000" w:rsidRDefault="00C14A3F">
      <w:pPr>
        <w:pStyle w:val="NormalWeb"/>
        <w:jc w:val="both"/>
      </w:pPr>
      <w:r>
        <w:rPr>
          <w:color w:val="000000"/>
        </w:rPr>
        <w:t>14. Витрати з дератизації (В</w:t>
      </w:r>
      <w:r>
        <w:rPr>
          <w:color w:val="000000"/>
          <w:vertAlign w:val="subscript"/>
        </w:rPr>
        <w:t>др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др</w:t>
            </w:r>
            <w:r>
              <w:rPr>
                <w:color w:val="000000"/>
              </w:rPr>
              <w:t xml:space="preserve"> = (П</w:t>
            </w:r>
            <w:r>
              <w:rPr>
                <w:color w:val="000000"/>
                <w:vertAlign w:val="subscript"/>
              </w:rPr>
              <w:t>п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др</w:t>
            </w:r>
            <w:r>
              <w:rPr>
                <w:color w:val="000000"/>
              </w:rPr>
              <w:t>)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+ (К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)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П</w:t>
      </w:r>
      <w:r>
        <w:rPr>
          <w:color w:val="000000"/>
          <w:vertAlign w:val="subscript"/>
        </w:rPr>
        <w:t>п</w:t>
      </w:r>
      <w:r>
        <w:rPr>
          <w:color w:val="000000"/>
        </w:rPr>
        <w:t xml:space="preserve"> - площа підвалу (першого поверху) житлового будинку (гуртожитку); Т</w:t>
      </w:r>
      <w:r>
        <w:rPr>
          <w:color w:val="000000"/>
          <w:vertAlign w:val="subscript"/>
        </w:rPr>
        <w:t>др</w:t>
      </w:r>
      <w:r>
        <w:rPr>
          <w:color w:val="000000"/>
        </w:rPr>
        <w:t xml:space="preserve"> </w:t>
      </w:r>
      <w:r>
        <w:rPr>
          <w:color w:val="000000"/>
        </w:rPr>
        <w:t>- середньомісячний тариф на проведення дератизаційних робіт (на 1 кв. метр площі дератизації); К</w:t>
      </w:r>
      <w:r>
        <w:rPr>
          <w:color w:val="000000"/>
          <w:vertAlign w:val="subscript"/>
        </w:rPr>
        <w:t>с</w:t>
      </w:r>
      <w:r>
        <w:rPr>
          <w:color w:val="000000"/>
        </w:rPr>
        <w:t xml:space="preserve"> - кількість сміттєприймальних камер будинку; Т</w:t>
      </w:r>
      <w:r>
        <w:rPr>
          <w:color w:val="000000"/>
          <w:vertAlign w:val="subscript"/>
        </w:rPr>
        <w:t>к</w:t>
      </w:r>
      <w:r>
        <w:rPr>
          <w:color w:val="000000"/>
        </w:rPr>
        <w:t xml:space="preserve"> - середньомісячний тариф на проведення дератизаційних робіт в одній сміттєприймальній камері будинку.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Середнь</w:t>
      </w:r>
      <w:r>
        <w:rPr>
          <w:color w:val="000000"/>
        </w:rPr>
        <w:t xml:space="preserve">омісячний тариф на проведення дератизаційних робіт визначається за калькуляцією відповідної санітарно-епідеміологічної служби. </w:t>
      </w:r>
    </w:p>
    <w:p w:rsidR="00000000" w:rsidRDefault="00C14A3F">
      <w:pPr>
        <w:pStyle w:val="NormalWeb"/>
        <w:jc w:val="both"/>
      </w:pPr>
      <w:r>
        <w:rPr>
          <w:color w:val="000000"/>
        </w:rPr>
        <w:t>15. Витрати з дезінсекції (В</w:t>
      </w:r>
      <w:r>
        <w:rPr>
          <w:color w:val="000000"/>
          <w:vertAlign w:val="subscript"/>
        </w:rPr>
        <w:t>ді</w:t>
      </w:r>
      <w:r>
        <w:rPr>
          <w:color w:val="000000"/>
        </w:rPr>
        <w:t xml:space="preserve">) визначаються за формулою </w:t>
      </w: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ді</w:t>
            </w:r>
            <w:r>
              <w:rPr>
                <w:color w:val="000000"/>
              </w:rPr>
              <w:t xml:space="preserve"> = Т</w:t>
            </w:r>
            <w:r>
              <w:rPr>
                <w:color w:val="000000"/>
                <w:vertAlign w:val="subscript"/>
              </w:rPr>
              <w:t>ді</w:t>
            </w:r>
            <w:r>
              <w:rPr>
                <w:color w:val="000000"/>
              </w:rPr>
              <w:t xml:space="preserve"> х П</w:t>
            </w:r>
            <w:r>
              <w:rPr>
                <w:color w:val="000000"/>
                <w:vertAlign w:val="subscript"/>
              </w:rPr>
              <w:t>п</w:t>
            </w:r>
            <w:r>
              <w:rPr>
                <w:color w:val="000000"/>
              </w:rPr>
              <w:t xml:space="preserve">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Т</w:t>
      </w:r>
      <w:r>
        <w:rPr>
          <w:color w:val="000000"/>
          <w:vertAlign w:val="subscript"/>
        </w:rPr>
        <w:t>ді</w:t>
      </w:r>
      <w:r>
        <w:rPr>
          <w:color w:val="000000"/>
        </w:rPr>
        <w:t xml:space="preserve"> - вартість проведення дезінсекційних</w:t>
      </w:r>
      <w:r>
        <w:rPr>
          <w:color w:val="000000"/>
        </w:rPr>
        <w:t xml:space="preserve"> робіт, визначена згідно з калькуляцією відповідної санітарно-епідеміологічної служби (на 1 кв. метр площі дезінсекції). </w:t>
      </w:r>
    </w:p>
    <w:p w:rsidR="00000000" w:rsidRDefault="00C14A3F">
      <w:pPr>
        <w:pStyle w:val="NormalWeb"/>
        <w:jc w:val="both"/>
      </w:pPr>
      <w:r>
        <w:rPr>
          <w:color w:val="000000"/>
        </w:rPr>
        <w:t>16. Витрати з обслуговування димовентиляційних каналів (В</w:t>
      </w:r>
      <w:r>
        <w:rPr>
          <w:color w:val="000000"/>
          <w:vertAlign w:val="subscript"/>
        </w:rPr>
        <w:t>дк</w:t>
      </w:r>
      <w:r>
        <w:rPr>
          <w:color w:val="000000"/>
        </w:rPr>
        <w:t xml:space="preserve">) визначаються за формулою </w:t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дк</w:t>
            </w:r>
            <w:r>
              <w:rPr>
                <w:color w:val="000000"/>
              </w:rPr>
              <w:t xml:space="preserve"> = (О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+ Н + М + І) х Д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: (П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х Д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), </w:t>
            </w:r>
          </w:p>
        </w:tc>
      </w:tr>
    </w:tbl>
    <w:p w:rsidR="00000000" w:rsidRDefault="00C14A3F">
      <w:pPr>
        <w:pStyle w:val="NormalWeb"/>
        <w:jc w:val="both"/>
      </w:pPr>
      <w:r>
        <w:lastRenderedPageBreak/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Д</w:t>
      </w:r>
      <w:r>
        <w:rPr>
          <w:color w:val="000000"/>
          <w:vertAlign w:val="subscript"/>
        </w:rPr>
        <w:t>к</w:t>
      </w:r>
      <w:r>
        <w:rPr>
          <w:color w:val="000000"/>
        </w:rPr>
        <w:t xml:space="preserve"> - нормативна кількість димовентиляційних каналів; Д</w:t>
      </w:r>
      <w:r>
        <w:rPr>
          <w:color w:val="000000"/>
          <w:vertAlign w:val="subscript"/>
        </w:rPr>
        <w:t>ф</w:t>
      </w:r>
      <w:r>
        <w:rPr>
          <w:color w:val="000000"/>
        </w:rPr>
        <w:t xml:space="preserve"> - фактична кількість димовентиляційних каналів.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17. Вартість робіт з технічного обслуговування та поточного ремонту систем протипожежної автоматики та димовидалення, а також за наявності інших внутрішньобудинкових інженерних систем, не зазначених у пунктах 13 і 18, у разі виконання таких робіт виконавце</w:t>
      </w:r>
      <w:r>
        <w:rPr>
          <w:color w:val="000000"/>
        </w:rPr>
        <w:t xml:space="preserve">м визначається за формулою, наведеною у пункті 7.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 разі виконання зазначених робіт субпідрядниками їх вартість визначається відповідно до договорів, укладених на поточний рік.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18. Витрати з проведення поточного ремонту конструктивних елементів, внутрішн</w:t>
      </w:r>
      <w:r>
        <w:rPr>
          <w:color w:val="000000"/>
        </w:rPr>
        <w:t>ьобудинкових систем гарячого і холодного водопостачання, водовідведення, теплопостачання та зливової каналізації і технічних пристроїв будинків та елементів зовнішнього упорядження, розташованих на закріпленій в установленому порядку прибудинковій територі</w:t>
      </w:r>
      <w:r>
        <w:rPr>
          <w:color w:val="000000"/>
        </w:rPr>
        <w:t>ї (зокрема, спортивних, дитячих та інших майданчиків), визначаються з урахуванням кошторисної вартості кожного виду робіт відповідно до державних будівельних норм та правил. Примірний перелік робіт з поточного ремонту визначається центральним органом викон</w:t>
      </w:r>
      <w:r>
        <w:rPr>
          <w:color w:val="000000"/>
        </w:rPr>
        <w:t xml:space="preserve">авчої влади з питань житлово-комунального господарства. </w:t>
      </w:r>
    </w:p>
    <w:p w:rsidR="00000000" w:rsidRDefault="00C14A3F">
      <w:pPr>
        <w:pStyle w:val="NormalWeb"/>
        <w:jc w:val="both"/>
      </w:pPr>
      <w:r>
        <w:rPr>
          <w:color w:val="000000"/>
        </w:rPr>
        <w:t>19. Витрати з поливання дворів, клумб і газонів (В</w:t>
      </w:r>
      <w:r>
        <w:rPr>
          <w:color w:val="000000"/>
          <w:vertAlign w:val="subscript"/>
        </w:rPr>
        <w:t>пд</w:t>
      </w:r>
      <w:r>
        <w:rPr>
          <w:color w:val="000000"/>
        </w:rPr>
        <w:t xml:space="preserve">) визначаються за формулою </w:t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пд</w:t>
            </w:r>
            <w:r>
              <w:rPr>
                <w:color w:val="000000"/>
              </w:rPr>
              <w:t xml:space="preserve"> = (П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 xml:space="preserve"> х Д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 xml:space="preserve"> + П</w:t>
            </w:r>
            <w:r>
              <w:rPr>
                <w:color w:val="000000"/>
                <w:vertAlign w:val="subscript"/>
              </w:rPr>
              <w:t>д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д</w:t>
            </w:r>
            <w:r>
              <w:rPr>
                <w:color w:val="000000"/>
              </w:rPr>
              <w:t xml:space="preserve"> х Д</w:t>
            </w:r>
            <w:r>
              <w:rPr>
                <w:color w:val="000000"/>
                <w:vertAlign w:val="subscript"/>
              </w:rPr>
              <w:t>д</w:t>
            </w:r>
            <w:r>
              <w:rPr>
                <w:color w:val="000000"/>
              </w:rPr>
              <w:t>) х Т</w:t>
            </w:r>
            <w:r>
              <w:rPr>
                <w:color w:val="000000"/>
                <w:vertAlign w:val="subscript"/>
              </w:rPr>
              <w:t>в</w:t>
            </w:r>
            <w:r>
              <w:rPr>
                <w:color w:val="000000"/>
              </w:rPr>
              <w:t xml:space="preserve">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П</w:t>
      </w:r>
      <w:r>
        <w:rPr>
          <w:color w:val="000000"/>
          <w:vertAlign w:val="subscript"/>
        </w:rPr>
        <w:t>д</w:t>
      </w:r>
      <w:r>
        <w:rPr>
          <w:color w:val="000000"/>
        </w:rPr>
        <w:t xml:space="preserve"> - площа дворів; П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- площа газонів та (або) клумб; Н</w:t>
      </w:r>
      <w:r>
        <w:rPr>
          <w:color w:val="000000"/>
          <w:vertAlign w:val="subscript"/>
        </w:rPr>
        <w:t>д</w:t>
      </w:r>
      <w:r>
        <w:rPr>
          <w:color w:val="000000"/>
        </w:rPr>
        <w:t xml:space="preserve"> - норм</w:t>
      </w:r>
      <w:r>
        <w:rPr>
          <w:color w:val="000000"/>
        </w:rPr>
        <w:t>а витрат води з поливання дворів; Н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- норма витрат води з поливання газонів та (або) клумб; Д</w:t>
      </w:r>
      <w:r>
        <w:rPr>
          <w:color w:val="000000"/>
          <w:vertAlign w:val="subscript"/>
        </w:rPr>
        <w:t>д</w:t>
      </w:r>
      <w:r>
        <w:rPr>
          <w:color w:val="000000"/>
        </w:rPr>
        <w:t xml:space="preserve"> - розрахункова кількість днів за пору року, коли проводиться поливання дворів; Д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- розрахункова кількість днів за пору року, коли проводиться поливання газонів</w:t>
      </w:r>
      <w:r>
        <w:rPr>
          <w:color w:val="000000"/>
        </w:rPr>
        <w:t xml:space="preserve"> та (або) клумб; Т</w:t>
      </w:r>
      <w:r>
        <w:rPr>
          <w:color w:val="000000"/>
          <w:vertAlign w:val="subscript"/>
        </w:rPr>
        <w:t>в</w:t>
      </w:r>
      <w:r>
        <w:rPr>
          <w:color w:val="000000"/>
        </w:rPr>
        <w:t xml:space="preserve"> - ціна 1 куб. метра води, використаної для поливання.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20. Витрати з прибирання і вивезення снігу, посипання призначеної для проходу та проїзду частини прибудинкової території протиожеледними сумішами визначаються на підставі даних каль</w:t>
      </w:r>
      <w:r>
        <w:rPr>
          <w:color w:val="000000"/>
        </w:rPr>
        <w:t>куляції, складеної з урахуванням індивідуальних норм прибирання і вивезення снігу та посипання протиожеледними сумішами, що затверджені органом місцевого самоврядування, залежно від площі території, з якої вивозиться сніг, відстані до пунктів звалищ, варто</w:t>
      </w:r>
      <w:r>
        <w:rPr>
          <w:color w:val="000000"/>
        </w:rPr>
        <w:t xml:space="preserve">сті вивезення, а також фактичної площі посипання зазначеної частини прибудинкової території. </w:t>
      </w:r>
    </w:p>
    <w:p w:rsidR="00000000" w:rsidRDefault="00C14A3F">
      <w:pPr>
        <w:pStyle w:val="NormalWeb"/>
        <w:jc w:val="both"/>
      </w:pPr>
      <w:r>
        <w:rPr>
          <w:color w:val="000000"/>
        </w:rPr>
        <w:t>21. Витрати з експлуатації номерних знаків на будинках (В</w:t>
      </w:r>
      <w:r>
        <w:rPr>
          <w:color w:val="000000"/>
          <w:vertAlign w:val="subscript"/>
        </w:rPr>
        <w:t>ез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ез</w:t>
            </w:r>
            <w:r>
              <w:rPr>
                <w:color w:val="000000"/>
              </w:rPr>
              <w:t xml:space="preserve"> = (В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 xml:space="preserve"> х С) : (Н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 xml:space="preserve"> х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),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В</w:t>
      </w:r>
      <w:r>
        <w:rPr>
          <w:color w:val="000000"/>
          <w:vertAlign w:val="subscript"/>
        </w:rPr>
        <w:t>з</w:t>
      </w:r>
      <w:r>
        <w:rPr>
          <w:color w:val="000000"/>
        </w:rPr>
        <w:t xml:space="preserve"> - вартість номерного знака; С - кіл</w:t>
      </w:r>
      <w:r>
        <w:rPr>
          <w:color w:val="000000"/>
        </w:rPr>
        <w:t>ькість будинків; Н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 - строк експлуатації номерних знаків (місяців). </w:t>
      </w:r>
    </w:p>
    <w:p w:rsidR="00000000" w:rsidRDefault="00C14A3F">
      <w:pPr>
        <w:pStyle w:val="NormalWeb"/>
        <w:jc w:val="both"/>
      </w:pPr>
      <w:r>
        <w:rPr>
          <w:color w:val="000000"/>
        </w:rPr>
        <w:lastRenderedPageBreak/>
        <w:t>22. Витрати з освітлення місць загального користування і підвальних приміщень та підкачування води (В</w:t>
      </w:r>
      <w:r>
        <w:rPr>
          <w:color w:val="000000"/>
          <w:vertAlign w:val="subscript"/>
        </w:rPr>
        <w:t>о</w:t>
      </w:r>
      <w:r>
        <w:rPr>
          <w:color w:val="000000"/>
        </w:rPr>
        <w:t xml:space="preserve">) визначаються за формулою </w:t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</w:rPr>
              <w:t xml:space="preserve"> = (О</w:t>
            </w:r>
            <w:r>
              <w:rPr>
                <w:color w:val="000000"/>
                <w:vertAlign w:val="subscript"/>
              </w:rPr>
              <w:t>зе</w:t>
            </w:r>
            <w:r>
              <w:rPr>
                <w:color w:val="000000"/>
              </w:rPr>
              <w:t xml:space="preserve"> + В</w:t>
            </w:r>
            <w:r>
              <w:rPr>
                <w:color w:val="000000"/>
                <w:vertAlign w:val="subscript"/>
              </w:rPr>
              <w:t>ф</w:t>
            </w:r>
            <w:r>
              <w:rPr>
                <w:color w:val="000000"/>
              </w:rPr>
              <w:t xml:space="preserve"> + Н + М + І + Т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 xml:space="preserve"> х Н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>) : П</w:t>
            </w:r>
            <w:r>
              <w:rPr>
                <w:color w:val="000000"/>
                <w:vertAlign w:val="subscript"/>
              </w:rPr>
              <w:t>з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О</w:t>
      </w:r>
      <w:r>
        <w:rPr>
          <w:color w:val="000000"/>
          <w:vertAlign w:val="subscript"/>
        </w:rPr>
        <w:t>зе</w:t>
      </w:r>
      <w:r>
        <w:rPr>
          <w:color w:val="000000"/>
        </w:rPr>
        <w:t xml:space="preserve"> </w:t>
      </w:r>
      <w:r>
        <w:rPr>
          <w:color w:val="000000"/>
        </w:rPr>
        <w:t>- заробітна плата електриків; Т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 - тариф на 1 кВт·г електроенергії; Н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 - кількість електроенергії, що використовується для освітлення місць загального користування, підвальних приміщень та підкачування води в розрахунку на місяць. </w:t>
      </w:r>
    </w:p>
    <w:p w:rsidR="00000000" w:rsidRDefault="00C14A3F">
      <w:pPr>
        <w:pStyle w:val="NormalWeb"/>
        <w:jc w:val="both"/>
      </w:pPr>
      <w:r>
        <w:rPr>
          <w:color w:val="000000"/>
        </w:rPr>
        <w:t>23. Витрати з енергопост</w:t>
      </w:r>
      <w:r>
        <w:rPr>
          <w:color w:val="000000"/>
        </w:rPr>
        <w:t>ачання для ліфтів (В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) визначаються за формулою 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 xml:space="preserve"> = (Н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 xml:space="preserve"> х Т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</w:rPr>
              <w:t xml:space="preserve"> х К</w:t>
            </w:r>
            <w:r>
              <w:rPr>
                <w:color w:val="000000"/>
                <w:vertAlign w:val="subscript"/>
              </w:rPr>
              <w:t>л</w:t>
            </w:r>
            <w:r>
              <w:rPr>
                <w:color w:val="000000"/>
              </w:rPr>
              <w:t>) : П</w:t>
            </w:r>
            <w:r>
              <w:rPr>
                <w:color w:val="000000"/>
                <w:vertAlign w:val="subscript"/>
              </w:rPr>
              <w:t>зл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Н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 - середня кількість електроенергії для одного ліфта в розрахунку на місяць; Т</w:t>
      </w:r>
      <w:r>
        <w:rPr>
          <w:color w:val="000000"/>
          <w:vertAlign w:val="subscript"/>
        </w:rPr>
        <w:t>е</w:t>
      </w:r>
      <w:r>
        <w:rPr>
          <w:color w:val="000000"/>
        </w:rPr>
        <w:t xml:space="preserve"> - тариф на 1 кВт·г електроенергії.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24. Витрати з проведення періодичної повірки, обслуго</w:t>
      </w:r>
      <w:r>
        <w:rPr>
          <w:color w:val="000000"/>
        </w:rPr>
        <w:t>вування і ремонту квартирних засобів обліку води та теплової енергії, у тому числі їх демонтажу, транспортування та монтажу після повірки, визначаються відповідно до укладених договорів між виконавцем та субпідрядником, який виконує зазначені послуги, у ро</w:t>
      </w:r>
      <w:r>
        <w:rPr>
          <w:color w:val="000000"/>
        </w:rPr>
        <w:t>зрахунку на один квартирний засіб обліку води та теплової енергії і нараховуються щомісяця споживачеві у складі послуги залежно від кількості таких засобів обліку шляхом додавання плати за проведення їх періодичної повірки, обслуговування і ремонту, у тому</w:t>
      </w:r>
      <w:r>
        <w:rPr>
          <w:color w:val="000000"/>
        </w:rPr>
        <w:t xml:space="preserve"> числі демонтажу, транспортування та монтажу після повірки, до загальної вартості послуг.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Розмір плати за проведення періодичної повірки, обслуговування і ремонт одного засобу обліку води та теплової енергії, у тому числі його демонтаж, транспортування та</w:t>
      </w:r>
      <w:r>
        <w:rPr>
          <w:color w:val="000000"/>
        </w:rPr>
        <w:t xml:space="preserve"> монтаж після повірки, визначається згідно з кошторисом, затверджується (погоджується) органами місцевого самоврядування і розподіляється за місяцями міжповірочного інтервалу, що встановлюється Держспоживстандартом для відповідного засобу обліку води та те</w:t>
      </w:r>
      <w:r>
        <w:rPr>
          <w:color w:val="000000"/>
        </w:rPr>
        <w:t xml:space="preserve">плової енергії.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25. Вартість інших послуг (утримання служб консьєржів, вбудованих паркінгів, установлення і утримання замково-переговорних пристроїв тощо) сплачується понад розмір плати за послуги на підставі договорів, укладених між власниками житлових б</w:t>
      </w:r>
      <w:r>
        <w:rPr>
          <w:color w:val="000000"/>
        </w:rPr>
        <w:t xml:space="preserve">удинків (гуртожитків), власниками (наймачами) квартир (житлових приміщень у гуртожитку), власниками нежитлових приміщень у житловому будинку (гуртожитку) та відповідними надавачами послуг.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26. Вартість робіт з підготовки житлового фонду до сезонної експлу</w:t>
      </w:r>
      <w:r>
        <w:rPr>
          <w:color w:val="000000"/>
        </w:rPr>
        <w:t xml:space="preserve">атації враховується у вартості технічного обслуговування та поточного ремонту конструктивних елементів, інженерних мереж та систем, технічних пристроїв будинку та елементів зовнішнього упорядження, що розташовані на прибудинковій території.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27. Вартість д</w:t>
      </w:r>
      <w:r>
        <w:rPr>
          <w:color w:val="000000"/>
        </w:rPr>
        <w:t>одаткових послуг, що не пов'язані з утриманням будинків і споруд та прибудинкових територій і надаються у гуртожитках для проживання сімей, визначається понад розмір плати за послуги на підставі договорів, укладених відповідними надавачами послуг з наймача</w:t>
      </w:r>
      <w:r>
        <w:rPr>
          <w:color w:val="000000"/>
        </w:rPr>
        <w:t xml:space="preserve">ми та (або) власниками житлових приміщень у гуртожитках.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Розрахунок накладних витрат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28. Обсяг накладних витрат визначається у відсотках до фонду заробітної плати основних робітників виконавця з урахуванням кошторисної вартості зазначених витрат відповід</w:t>
      </w:r>
      <w:r>
        <w:rPr>
          <w:color w:val="000000"/>
        </w:rPr>
        <w:t xml:space="preserve">но до законодавства. У разі неможливості здійснення об'єктивного нормування окремих елементів накладних витрат такі витрати визначаються на підставі фактичних витрат за попередній рік.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29. До накладних витрат належать загальновиробничі та адміністративні </w:t>
      </w:r>
      <w:r>
        <w:rPr>
          <w:color w:val="000000"/>
        </w:rPr>
        <w:t xml:space="preserve">витрати.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30. До загальновиробничих витрат належать витрати з: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1) утримання апарату управління виробництвом - витрати з оплати праці апарату управління виробництвом з відрахуваннями із заробітної плати внесків до Пенсійного фонду України та інших фондів с</w:t>
      </w:r>
      <w:r>
        <w:rPr>
          <w:color w:val="000000"/>
        </w:rPr>
        <w:t xml:space="preserve">оціального страхування;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2) утримання виробничого персоналу - витрати з оплати праці виробничого персоналу (комірники, молодший обслуговуючий персонал тощо) з відрахуваннями із заробітної плати внесків до Пенсійного фонду України та інших фондів соціальног</w:t>
      </w:r>
      <w:r>
        <w:rPr>
          <w:color w:val="000000"/>
        </w:rPr>
        <w:t xml:space="preserve">о страхування;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оплати службових відряджень працівників апарату управління виробництвом;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амортизації основних засобів виробничого призначення, крім амортизації, що включається у витрати з утримання та експлуатації машин і обладнання;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утримання основних засобів виробничого призначення та їх поточного ремонту;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охорони праці;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забезпечення пожежної та сторожової охорони об'єктів виробничого призначення.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31. До адміністративних витрат належать витрати з: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1) утримання апарату уп</w:t>
      </w:r>
      <w:r>
        <w:rPr>
          <w:color w:val="000000"/>
        </w:rPr>
        <w:t xml:space="preserve">равління підприємством;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оплати праці персоналу управління підприємством з відрахуваннями із заробітної плати внесків до Пенсійного фонду України та інших фондів соціального страхування;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3) оплати службових відряджень персоналу управління підприємством</w:t>
      </w:r>
      <w:r>
        <w:rPr>
          <w:color w:val="000000"/>
        </w:rPr>
        <w:t xml:space="preserve">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забезпечення пожежної та сторожової охорони об'єктів адміністративного призначення;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5) сплати вартості за використання та обслуговування технічних засобів управління (обчислювальних центрів, вузлів зв'язку, засобів сигналізації), канцелярські та пош</w:t>
      </w:r>
      <w:r>
        <w:rPr>
          <w:color w:val="000000"/>
        </w:rPr>
        <w:t xml:space="preserve">тово-телеграфні витрати;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оплати аудиторських перевірок, робіт (послуг) консультаційного та інформаційного характеру;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7) оплати праці загальногосподарського персоналу з відрахуваннями із заробітної плати внесків до Пенсійного фонду України та інших фон</w:t>
      </w:r>
      <w:r>
        <w:rPr>
          <w:color w:val="000000"/>
        </w:rPr>
        <w:t xml:space="preserve">дів соціального страхування;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амортизації основних засобів адміністративного призначення;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утримання та поточного ремонту основних засобів загальногосподарського призначення;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10) охорони праці та техніки безпеки;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11) підготовки (перепідготовки) кад</w:t>
      </w:r>
      <w:r>
        <w:rPr>
          <w:color w:val="000000"/>
        </w:rPr>
        <w:t xml:space="preserve">рів;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12) сплати податків і зборів (обов'язкових платежів), крім тих, що включаються у виробничу собівартість, а також інші витрати адміністративного призначення. </w:t>
      </w:r>
    </w:p>
    <w:p w:rsidR="00000000" w:rsidRDefault="00C14A3F">
      <w:pPr>
        <w:pStyle w:val="NormalWeb"/>
        <w:jc w:val="center"/>
        <w:rPr>
          <w:color w:val="000000"/>
        </w:rPr>
      </w:pPr>
      <w:r>
        <w:rPr>
          <w:color w:val="000000"/>
        </w:rPr>
        <w:t>Надання висновку щодо розрахунків економічно обґрунтованих планованих витрат з технічного об</w:t>
      </w:r>
      <w:r>
        <w:rPr>
          <w:color w:val="000000"/>
        </w:rPr>
        <w:t xml:space="preserve">слуговування ліфтів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32. Висновок щодо розрахунків економічно обґрунтованих планованих витрат з технічного обслуговування ліфтів надається Державною інспекцією з контролю за цінами або її територіальними органами в установленому Мінекономіки порядку.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Розр</w:t>
      </w:r>
      <w:r>
        <w:rPr>
          <w:rFonts w:eastAsia="Times New Roman"/>
          <w:color w:val="000000"/>
        </w:rPr>
        <w:t xml:space="preserve">ахунок планованого прибутку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33. Рівень рентабельності, що визначається з урахуванням необхідності сплати податку на прибуток підприємств та спрямування частини коштів, отриманих як прибуток, на технічне переоснащення підприємств, не повинен перевищувати у</w:t>
      </w:r>
      <w:r>
        <w:rPr>
          <w:color w:val="000000"/>
        </w:rPr>
        <w:t xml:space="preserve"> цілому по підприємству 12 відсотків.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Коригування тарифів на надання послуг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34. Метою коригування тарифів є забезпечення відшкодування у повному обсязі економічно обґрунтованих планованих витрат, що враховуються під час визначення повної собівартості пос</w:t>
      </w:r>
      <w:r>
        <w:rPr>
          <w:color w:val="000000"/>
        </w:rPr>
        <w:t xml:space="preserve">луг, запланованого прибутку та податку на додану вартість.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Механізм коригування тарифів запроваджується у разі, коли протягом строку дії тарифів змінюються ставки податків і зборів (обов'язкових платежів), рівень заробітної плати у виконавця (відповідно д</w:t>
      </w:r>
      <w:r>
        <w:rPr>
          <w:color w:val="000000"/>
        </w:rPr>
        <w:t xml:space="preserve">о законодавства, Генеральної та галузевої угод), ціни (тарифи) на паливно-енергетичні та матеріальні ресурси.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Коригуванню підлягають лише складові витрат, за якими відбулися цінові зміни у бік збільшення (зменшення), що сприятиме забезпеченню економічної </w:t>
      </w:r>
      <w:r>
        <w:rPr>
          <w:color w:val="000000"/>
        </w:rPr>
        <w:t xml:space="preserve">обґрунтованості та прозорості запровадження механізму коригування тарифів. 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35. Коригування тарифів здійснюється за формулою </w:t>
      </w: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Т</w:t>
            </w:r>
            <w:r>
              <w:rPr>
                <w:color w:val="000000"/>
                <w:vertAlign w:val="subscript"/>
              </w:rPr>
              <w:t>ск</w:t>
            </w:r>
            <w:r>
              <w:rPr>
                <w:color w:val="000000"/>
              </w:rPr>
              <w:t xml:space="preserve"> = Т</w:t>
            </w:r>
            <w:r>
              <w:rPr>
                <w:color w:val="000000"/>
                <w:vertAlign w:val="subscript"/>
              </w:rPr>
              <w:t>дк</w:t>
            </w:r>
            <w:r>
              <w:rPr>
                <w:color w:val="000000"/>
              </w:rPr>
              <w:t xml:space="preserve"> х К</w:t>
            </w:r>
            <w:r>
              <w:rPr>
                <w:color w:val="000000"/>
                <w:vertAlign w:val="subscript"/>
              </w:rPr>
              <w:t>зв</w:t>
            </w:r>
            <w:r>
              <w:rPr>
                <w:color w:val="000000"/>
              </w:rPr>
              <w:t>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де Т</w:t>
      </w:r>
      <w:r>
        <w:rPr>
          <w:color w:val="000000"/>
          <w:vertAlign w:val="subscript"/>
        </w:rPr>
        <w:t>ск</w:t>
      </w:r>
      <w:r>
        <w:rPr>
          <w:color w:val="000000"/>
        </w:rPr>
        <w:t xml:space="preserve"> - скоригований тариф; Т</w:t>
      </w:r>
      <w:r>
        <w:rPr>
          <w:color w:val="000000"/>
          <w:vertAlign w:val="subscript"/>
        </w:rPr>
        <w:t>дк</w:t>
      </w:r>
      <w:r>
        <w:rPr>
          <w:color w:val="000000"/>
        </w:rPr>
        <w:t xml:space="preserve"> - тариф, що діє на момент коригування; К</w:t>
      </w:r>
      <w:r>
        <w:rPr>
          <w:color w:val="000000"/>
          <w:vertAlign w:val="subscript"/>
        </w:rPr>
        <w:t>зв</w:t>
      </w:r>
      <w:r>
        <w:rPr>
          <w:color w:val="000000"/>
        </w:rPr>
        <w:t xml:space="preserve"> </w:t>
      </w:r>
      <w:r>
        <w:rPr>
          <w:color w:val="000000"/>
        </w:rPr>
        <w:t xml:space="preserve">- коефіцієнт зміни витрат, пов'язаних з наданням послуг. 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36. Коефіцієнт зміни витрат, пов'язаних з наданням послуг, визначається за формулою 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зв</w:t>
            </w:r>
            <w:r>
              <w:rPr>
                <w:color w:val="000000"/>
              </w:rPr>
              <w:t xml:space="preserve"> = 1 + П</w:t>
            </w:r>
            <w:r>
              <w:rPr>
                <w:color w:val="000000"/>
                <w:vertAlign w:val="subscript"/>
              </w:rPr>
              <w:t>зп</w:t>
            </w:r>
            <w:r>
              <w:rPr>
                <w:color w:val="000000"/>
              </w:rPr>
              <w:t xml:space="preserve"> х (В</w:t>
            </w:r>
            <w:r>
              <w:rPr>
                <w:color w:val="000000"/>
                <w:vertAlign w:val="subscript"/>
              </w:rPr>
              <w:t>зн</w:t>
            </w:r>
            <w:r>
              <w:rPr>
                <w:color w:val="000000"/>
              </w:rPr>
              <w:t xml:space="preserve"> - В</w:t>
            </w:r>
            <w:r>
              <w:rPr>
                <w:color w:val="000000"/>
                <w:vertAlign w:val="subscript"/>
              </w:rPr>
              <w:t>зд</w:t>
            </w:r>
            <w:r>
              <w:rPr>
                <w:color w:val="000000"/>
              </w:rPr>
              <w:t>) : В</w:t>
            </w:r>
            <w:r>
              <w:rPr>
                <w:color w:val="000000"/>
                <w:vertAlign w:val="subscript"/>
              </w:rPr>
              <w:t>зд</w:t>
            </w:r>
            <w:r>
              <w:rPr>
                <w:color w:val="000000"/>
              </w:rPr>
              <w:t xml:space="preserve"> + П</w:t>
            </w:r>
            <w:r>
              <w:rPr>
                <w:color w:val="000000"/>
                <w:vertAlign w:val="subscript"/>
              </w:rPr>
              <w:t>ел</w:t>
            </w:r>
            <w:r>
              <w:rPr>
                <w:color w:val="000000"/>
              </w:rPr>
              <w:t xml:space="preserve"> х (Т</w:t>
            </w:r>
            <w:r>
              <w:rPr>
                <w:color w:val="000000"/>
                <w:vertAlign w:val="subscript"/>
              </w:rPr>
              <w:t>ен</w:t>
            </w:r>
            <w:r>
              <w:rPr>
                <w:color w:val="000000"/>
              </w:rPr>
              <w:t xml:space="preserve"> - Т</w:t>
            </w:r>
            <w:r>
              <w:rPr>
                <w:color w:val="000000"/>
                <w:vertAlign w:val="subscript"/>
              </w:rPr>
              <w:t>ед</w:t>
            </w:r>
            <w:r>
              <w:rPr>
                <w:color w:val="000000"/>
              </w:rPr>
              <w:t>) : Т</w:t>
            </w:r>
            <w:r>
              <w:rPr>
                <w:color w:val="000000"/>
                <w:vertAlign w:val="subscript"/>
              </w:rPr>
              <w:t>ед</w:t>
            </w:r>
            <w:r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br/>
              <w:t>+ П</w:t>
            </w:r>
            <w:r>
              <w:rPr>
                <w:color w:val="000000"/>
                <w:vertAlign w:val="subscript"/>
              </w:rPr>
              <w:t>пал</w:t>
            </w:r>
            <w:r>
              <w:rPr>
                <w:color w:val="000000"/>
              </w:rPr>
              <w:t xml:space="preserve"> х (Ц</w:t>
            </w:r>
            <w:r>
              <w:rPr>
                <w:color w:val="000000"/>
                <w:vertAlign w:val="subscript"/>
              </w:rPr>
              <w:t>пн</w:t>
            </w:r>
            <w:r>
              <w:rPr>
                <w:color w:val="000000"/>
              </w:rPr>
              <w:t xml:space="preserve"> - Ц</w:t>
            </w:r>
            <w:r>
              <w:rPr>
                <w:color w:val="000000"/>
                <w:vertAlign w:val="subscript"/>
              </w:rPr>
              <w:t>пд</w:t>
            </w:r>
            <w:r>
              <w:rPr>
                <w:color w:val="000000"/>
              </w:rPr>
              <w:t>) : Ц</w:t>
            </w:r>
            <w:r>
              <w:rPr>
                <w:color w:val="000000"/>
                <w:vertAlign w:val="subscript"/>
              </w:rPr>
              <w:t>пд</w:t>
            </w:r>
            <w:r>
              <w:rPr>
                <w:color w:val="000000"/>
              </w:rPr>
              <w:t xml:space="preserve"> + </w:t>
            </w:r>
            <w:r>
              <w:rPr>
                <w:rFonts w:ascii="Symbol" w:hAnsi="Symbol"/>
                <w:color w:val="000000"/>
              </w:rPr>
              <w:t></w:t>
            </w:r>
            <w:r>
              <w:rPr>
                <w:color w:val="000000"/>
              </w:rPr>
              <w:t xml:space="preserve"> [П</w:t>
            </w:r>
            <w:r>
              <w:rPr>
                <w:color w:val="000000"/>
                <w:vertAlign w:val="subscript"/>
              </w:rPr>
              <w:t>м</w:t>
            </w:r>
            <w:r>
              <w:rPr>
                <w:color w:val="000000"/>
              </w:rPr>
              <w:t xml:space="preserve"> х (Ц</w:t>
            </w:r>
            <w:r>
              <w:rPr>
                <w:color w:val="000000"/>
                <w:vertAlign w:val="subscript"/>
              </w:rPr>
              <w:t>мн</w:t>
            </w:r>
            <w:r>
              <w:rPr>
                <w:color w:val="000000"/>
              </w:rPr>
              <w:t xml:space="preserve"> - Ц</w:t>
            </w:r>
            <w:r>
              <w:rPr>
                <w:color w:val="000000"/>
                <w:vertAlign w:val="subscript"/>
              </w:rPr>
              <w:t>мд</w:t>
            </w:r>
            <w:r>
              <w:rPr>
                <w:color w:val="000000"/>
              </w:rPr>
              <w:t>) : Ц</w:t>
            </w:r>
            <w:r>
              <w:rPr>
                <w:color w:val="000000"/>
                <w:vertAlign w:val="subscript"/>
              </w:rPr>
              <w:t>мд</w:t>
            </w:r>
            <w:r>
              <w:rPr>
                <w:color w:val="000000"/>
              </w:rPr>
              <w:t>],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де П</w:t>
      </w:r>
      <w:r>
        <w:rPr>
          <w:color w:val="000000"/>
          <w:vertAlign w:val="subscript"/>
        </w:rPr>
        <w:t>зп</w:t>
      </w:r>
      <w:r>
        <w:rPr>
          <w:color w:val="000000"/>
        </w:rPr>
        <w:t xml:space="preserve"> - питома вага у структурі діючого тарифу витрат із заробітної плати та відрахування із заробітної плати внесків до Пенсійного фонду України та інших фондів соціального страхування; В</w:t>
      </w:r>
      <w:r>
        <w:rPr>
          <w:color w:val="000000"/>
          <w:vertAlign w:val="subscript"/>
        </w:rPr>
        <w:t>зн</w:t>
      </w:r>
      <w:r>
        <w:rPr>
          <w:color w:val="000000"/>
        </w:rPr>
        <w:t xml:space="preserve"> - витрати із заробітної плати та відрахування із за</w:t>
      </w:r>
      <w:r>
        <w:rPr>
          <w:color w:val="000000"/>
        </w:rPr>
        <w:t>робітної плати внесків до Пенсійного фонду України та інших фондів соціального страхування в розрахунку на місяць, у якому здійснюється коригування діючого тарифу; В</w:t>
      </w:r>
      <w:r>
        <w:rPr>
          <w:color w:val="000000"/>
          <w:vertAlign w:val="subscript"/>
        </w:rPr>
        <w:t>зд</w:t>
      </w:r>
      <w:r>
        <w:rPr>
          <w:color w:val="000000"/>
        </w:rPr>
        <w:t xml:space="preserve"> - витрати із заробітної плати та відрахування із заробітної плати внесків до Пенсійного </w:t>
      </w:r>
      <w:r>
        <w:rPr>
          <w:color w:val="000000"/>
        </w:rPr>
        <w:t>фонду України та інших фондів соціального страхування на дату встановлення діючого тарифу; П</w:t>
      </w:r>
      <w:r>
        <w:rPr>
          <w:color w:val="000000"/>
          <w:vertAlign w:val="subscript"/>
        </w:rPr>
        <w:t>ел</w:t>
      </w:r>
      <w:r>
        <w:rPr>
          <w:color w:val="000000"/>
        </w:rPr>
        <w:t xml:space="preserve"> - питома вага витрат з електроенергії у структурі діючого тарифу; Т</w:t>
      </w:r>
      <w:r>
        <w:rPr>
          <w:color w:val="000000"/>
          <w:vertAlign w:val="subscript"/>
        </w:rPr>
        <w:t>ен</w:t>
      </w:r>
      <w:r>
        <w:rPr>
          <w:color w:val="000000"/>
        </w:rPr>
        <w:t xml:space="preserve"> - тариф на електроенергію в розрахунку на місяць, у якому здійснюється коригування діючого </w:t>
      </w:r>
      <w:r>
        <w:rPr>
          <w:color w:val="000000"/>
        </w:rPr>
        <w:t>тарифу; Т</w:t>
      </w:r>
      <w:r>
        <w:rPr>
          <w:color w:val="000000"/>
          <w:vertAlign w:val="subscript"/>
        </w:rPr>
        <w:t>ед</w:t>
      </w:r>
      <w:r>
        <w:rPr>
          <w:color w:val="000000"/>
        </w:rPr>
        <w:t xml:space="preserve"> - тариф на електроенергію на дату встановлення діючого тарифу; П</w:t>
      </w:r>
      <w:r>
        <w:rPr>
          <w:color w:val="000000"/>
          <w:vertAlign w:val="subscript"/>
        </w:rPr>
        <w:t>пал</w:t>
      </w:r>
      <w:r>
        <w:rPr>
          <w:color w:val="000000"/>
        </w:rPr>
        <w:t xml:space="preserve"> - питома вага витрат із закупівлі пально-мастильних матеріалів у структурі діючого тарифу; Ц</w:t>
      </w:r>
      <w:r>
        <w:rPr>
          <w:color w:val="000000"/>
          <w:vertAlign w:val="subscript"/>
        </w:rPr>
        <w:t>пн</w:t>
      </w:r>
      <w:r>
        <w:rPr>
          <w:color w:val="000000"/>
        </w:rPr>
        <w:t xml:space="preserve"> - ціна пально-мастильних матеріалів у розрахунку на місяць, у якому здійснюється </w:t>
      </w:r>
      <w:r>
        <w:rPr>
          <w:color w:val="000000"/>
        </w:rPr>
        <w:t>коригування діючого тарифу; Ц</w:t>
      </w:r>
      <w:r>
        <w:rPr>
          <w:color w:val="000000"/>
          <w:vertAlign w:val="subscript"/>
        </w:rPr>
        <w:t>пд</w:t>
      </w:r>
      <w:r>
        <w:rPr>
          <w:color w:val="000000"/>
        </w:rPr>
        <w:t xml:space="preserve"> - ціна пально-мастильних матеріалів на дату встановлення діючого тарифу; П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- питома вага у структурі діючого тарифу витрат на матеріали, комплектувальні вироби, обладнання; Ц</w:t>
      </w:r>
      <w:r>
        <w:rPr>
          <w:color w:val="000000"/>
          <w:vertAlign w:val="subscript"/>
        </w:rPr>
        <w:t>пн</w:t>
      </w:r>
      <w:r>
        <w:rPr>
          <w:color w:val="000000"/>
        </w:rPr>
        <w:t xml:space="preserve"> - ціна на матеріали, комплектувальні вироби, о</w:t>
      </w:r>
      <w:r>
        <w:rPr>
          <w:color w:val="000000"/>
        </w:rPr>
        <w:t>бладнання в розрахунку на місяць, у якому здійснюється коригування діючого тарифу; Ц</w:t>
      </w:r>
      <w:r>
        <w:rPr>
          <w:color w:val="000000"/>
          <w:vertAlign w:val="subscript"/>
        </w:rPr>
        <w:t>пд</w:t>
      </w:r>
      <w:r>
        <w:rPr>
          <w:color w:val="000000"/>
        </w:rPr>
        <w:t xml:space="preserve"> - ціна на матеріали, комплектувальні вироби, обладнання на дату встановлення діючого тарифу.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Державний контроль за виконанням вимог цього Порядку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37. Державний контрол</w:t>
      </w:r>
      <w:r>
        <w:rPr>
          <w:color w:val="000000"/>
        </w:rPr>
        <w:t xml:space="preserve">ь за виконанням вимог цього Порядку в межах повноважень, визначених законом, здійснюється Держжитлокомунінспекцією та її територіальними органами в порядку, встановленому Мінжитлокомунгоспом за погодженням з Мінекономіки. </w:t>
      </w:r>
    </w:p>
    <w:p w:rsidR="00000000" w:rsidRDefault="00C14A3F">
      <w:pPr>
        <w:pStyle w:val="NormalWeb"/>
        <w:jc w:val="right"/>
        <w:rPr>
          <w:color w:val="000000"/>
        </w:rPr>
      </w:pPr>
      <w:r>
        <w:rPr>
          <w:color w:val="000000"/>
        </w:rPr>
        <w:t>(Порядок доповнено розділом згідн</w:t>
      </w:r>
      <w:r>
        <w:rPr>
          <w:color w:val="000000"/>
        </w:rPr>
        <w:t>о з постановою</w:t>
      </w:r>
      <w:r>
        <w:rPr>
          <w:color w:val="000000"/>
        </w:rPr>
        <w:br/>
        <w:t> Кабінету Міністрів України від 03.09.2009 р. N 937)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Додаток</w:t>
            </w:r>
            <w:r>
              <w:rPr>
                <w:color w:val="000000"/>
              </w:rPr>
              <w:br/>
              <w:t>до Порядку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ТИПОВИЙ ПЕРЕЛІК</w:t>
      </w:r>
      <w:r>
        <w:rPr>
          <w:rFonts w:eastAsia="Times New Roman"/>
          <w:color w:val="000000"/>
        </w:rPr>
        <w:br/>
        <w:t xml:space="preserve">послуг з утримання будинків і споруд та прибудинкових територій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Прибирання прибудинкової території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Прибирання сходових кліток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Вивезення побутових відходів (збирання, зберігання, перевезення, перероблення, утилізація, знешкодження та захоронення)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Прибирання підвалу, технічних поверхів та покрівлі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Технічне обслуговування ліфтів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Обслуговування систем диспетчеризації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Технічне обс</w:t>
      </w:r>
      <w:r>
        <w:rPr>
          <w:color w:val="000000"/>
        </w:rPr>
        <w:t xml:space="preserve">луговування внутрішньобудинкових систем: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гарячого водопостачання;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холодного водопостачання;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водовідведення;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теплопостачання;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зливової каналізації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Дератизація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Дезінсекція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Обслуговування димовентиляційних каналів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Технічне обслуговування та поточний </w:t>
      </w:r>
      <w:r>
        <w:rPr>
          <w:color w:val="000000"/>
        </w:rPr>
        <w:t xml:space="preserve">ремонт систем протипожежної автоматики та димовидалення, а також інших внутрішньобудинкових інженерних систем у разі їх наявності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Поточний ремонт конструктивних елементів, внутрішньобудинкових систем гарячого і холодного водопостачання, водовідведення, те</w:t>
      </w:r>
      <w:r>
        <w:rPr>
          <w:color w:val="000000"/>
        </w:rPr>
        <w:t xml:space="preserve">плопостачання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Поливання дворів</w:t>
      </w:r>
      <w:r>
        <w:rPr>
          <w:color w:val="000000"/>
        </w:rPr>
        <w:t xml:space="preserve">, клумб і газонів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Прибирання і вивезення снігу, посипання частини прибудинкової території, призначеної для проходу та проїзду, протиожеледними сумішами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Експлуатація номерних знаків на будинках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Освітлення місць загального користування і підвалів та підка</w:t>
      </w:r>
      <w:r>
        <w:rPr>
          <w:color w:val="000000"/>
        </w:rPr>
        <w:t xml:space="preserve">чування води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Енергопостачання ліфтів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Періодична повірка, обслуговування і ремонт квартирних засобів обліку води та теплової енергії, у тому числі їх демонтаж, транспортування та монтаж після повірки. </w:t>
      </w:r>
    </w:p>
    <w:p w:rsidR="00000000" w:rsidRDefault="00C14A3F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постановою Кабінету Міністрів України</w:t>
            </w:r>
            <w:r>
              <w:rPr>
                <w:color w:val="000000"/>
              </w:rPr>
              <w:br/>
              <w:t>від 20 травня 2009 р. N 529 </w:t>
            </w:r>
          </w:p>
        </w:tc>
      </w:tr>
    </w:tbl>
    <w:p w:rsidR="00000000" w:rsidRDefault="00C14A3F">
      <w:pPr>
        <w:pStyle w:val="NormalWeb"/>
        <w:jc w:val="both"/>
      </w:pPr>
      <w: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ТИПОВИЙ ДОГОВІР</w:t>
      </w:r>
      <w:r>
        <w:rPr>
          <w:rFonts w:eastAsia="Times New Roman"/>
          <w:color w:val="000000"/>
        </w:rPr>
        <w:br/>
        <w:t xml:space="preserve">про надання послуг з утримання будинків і споруд та прибудинкових територій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both"/>
            </w:pPr>
            <w:r>
              <w:rPr>
                <w:color w:val="000000"/>
              </w:rPr>
              <w:t>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(найменування населеного пункту) </w:t>
            </w:r>
          </w:p>
        </w:tc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right"/>
            </w:pPr>
            <w:r>
              <w:rPr>
                <w:color w:val="000000"/>
              </w:rPr>
              <w:t>___ __________</w:t>
            </w:r>
            <w:r>
              <w:rPr>
                <w:color w:val="000000"/>
              </w:rPr>
              <w:t>__20__ р.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14A3F">
            <w:pPr>
              <w:pStyle w:val="NormalWeb"/>
              <w:jc w:val="both"/>
            </w:pPr>
            <w:r>
              <w:rPr>
                <w:color w:val="000000"/>
              </w:rPr>
              <w:t>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                              (найменування суб'єкта господарювання, предметом діяльності якого є надання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                                        послуг з утримання будинків і споруд та прибудинкових територій)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в особі ________________________________________________________</w:t>
            </w:r>
            <w:r>
              <w:rPr>
                <w:color w:val="000000"/>
              </w:rPr>
              <w:t>_______________________,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(посада, прізвище, ім'я та по батькові)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що діє на підставі ______________________________________________________________________,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</w:t>
            </w:r>
            <w:r>
              <w:rPr>
                <w:color w:val="000000"/>
                <w:sz w:val="20"/>
                <w:szCs w:val="20"/>
              </w:rPr>
              <w:t xml:space="preserve">                                                                                               (найменування документа)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затвердженого 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                                                </w:t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(ким виданий, номер і дата)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(далі - виконавець), з однієї сторони, і _____________________________________________________</w:t>
            </w:r>
            <w:r>
              <w:rPr>
                <w:color w:val="000000"/>
              </w:rPr>
              <w:br/>
              <w:t>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(прізвище, ім'я та по батькові фізичної особи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______________________________________________________________________________________,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</w:t>
            </w:r>
            <w:r>
              <w:rPr>
                <w:color w:val="000000"/>
                <w:sz w:val="20"/>
                <w:szCs w:val="20"/>
              </w:rPr>
              <w:t xml:space="preserve">             або найменування юридичної особи)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що є власником житлового будинку (гуртожитку), власником (наймачем) квартири (житлового приміщення в гуртожитку), власником нежитлового приміщення у житловому будинку (гуртожитку) (далі - споживач), з іншої ст</w:t>
            </w:r>
            <w:r>
              <w:rPr>
                <w:color w:val="000000"/>
              </w:rPr>
              <w:t>орони, уклали цей договір про таке: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Предмет договору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    1. Предметом цього договору є забезпечення виконавцем надання послуг з утримання будинків і споруд та прибудинкових територій (далі - послуги) у житловому будинку (гуртожитку) N _________</w:t>
            </w:r>
            <w:r>
              <w:rPr>
                <w:color w:val="000000"/>
              </w:rPr>
              <w:br/>
              <w:t>по</w:t>
            </w:r>
            <w:r>
              <w:rPr>
                <w:color w:val="000000"/>
              </w:rPr>
              <w:t xml:space="preserve"> вул. ___________________________________ у __________________________________________,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(найменування населеного пункт</w:t>
            </w:r>
            <w:r>
              <w:rPr>
                <w:color w:val="000000"/>
                <w:sz w:val="20"/>
                <w:szCs w:val="20"/>
              </w:rPr>
              <w:t>у)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 xml:space="preserve">а споживачем - забезпечення своєчасної оплати таких послуг за встановленим тарифом у строк та на умовах, що передбачені цим договором.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 2. Виконавець надає послуги відповідно до затвердженого (погодженого) рішенням органу місцевого самоврядування тари</w:t>
            </w:r>
            <w:r>
              <w:rPr>
                <w:color w:val="000000"/>
              </w:rPr>
              <w:t xml:space="preserve">фу, його структури, періодичності та строків надання послуг, копія якого додається до цього договору.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 3. Розмір щомісячної плати за надані послуги на дату укладення цього договору становить _______________________________________________________ гривень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(прописом) </w:t>
            </w:r>
          </w:p>
          <w:p w:rsidR="00000000" w:rsidRDefault="00C14A3F">
            <w:pPr>
              <w:pStyle w:val="NormalWeb"/>
              <w:jc w:val="both"/>
            </w:pPr>
            <w:r>
              <w:rPr>
                <w:color w:val="000000"/>
              </w:rPr>
              <w:t>    4. Наявність пільг з оплати послуг 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                                                                                          </w:t>
            </w:r>
            <w:r>
              <w:rPr>
                <w:color w:val="000000"/>
                <w:sz w:val="20"/>
                <w:szCs w:val="20"/>
              </w:rPr>
              <w:t xml:space="preserve">                    (назва законодавчого акта, що передбачає пільгу)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(відсоткі</w:t>
            </w:r>
            <w:r>
              <w:rPr>
                <w:color w:val="000000"/>
                <w:sz w:val="20"/>
                <w:szCs w:val="20"/>
              </w:rPr>
              <w:t>в прописом)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Оплата спожитих послуг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5. Розрахунковим періодом є календарний місяць.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У разі застосування щомісячної системи оплати послуг платежі вносяться не пізніше ніж до _____ числа місяця, що настає за розрахунковим.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color w:val="000000"/>
              </w:rPr>
              <w:t>У разі застосування авансової системи оплати послуг платежі</w:t>
            </w:r>
            <w:r>
              <w:rPr>
                <w:color w:val="000000"/>
              </w:rPr>
              <w:br/>
              <w:t xml:space="preserve">вносяться за _____________________ місяців у розмірі _______________________________ гривень.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  6. Послуги оплачуються 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           </w:t>
            </w:r>
            <w:r>
              <w:rPr>
                <w:color w:val="000000"/>
                <w:sz w:val="20"/>
                <w:szCs w:val="20"/>
              </w:rPr>
              <w:t xml:space="preserve">                                                                                             (в готівковій або безготівковій формі)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  7. Плата вноситься на розрахунковий рахунок 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                              </w:t>
            </w:r>
            <w:r>
              <w:rPr>
                <w:color w:val="000000"/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(банківські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</w:t>
            </w:r>
            <w:r>
              <w:rPr>
                <w:color w:val="000000"/>
                <w:sz w:val="20"/>
                <w:szCs w:val="20"/>
              </w:rPr>
              <w:t xml:space="preserve">                               реквізити єдиного розрахункового центру або виконавця)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через 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(найменування банк</w:t>
            </w:r>
            <w:r>
              <w:rPr>
                <w:color w:val="000000"/>
                <w:sz w:val="20"/>
                <w:szCs w:val="20"/>
              </w:rPr>
              <w:t xml:space="preserve">івської установи або виконавця) </w:t>
            </w:r>
          </w:p>
          <w:p w:rsidR="00000000" w:rsidRDefault="00C14A3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8. За несвоєчасне внесення плати із споживача стягується пеня в установленому законом розмірі, _____ відсотків. </w:t>
            </w:r>
          </w:p>
          <w:p w:rsidR="00000000" w:rsidRDefault="00C14A3F">
            <w:pPr>
              <w:pStyle w:val="NormalWeb"/>
              <w:jc w:val="both"/>
            </w:pPr>
            <w:r>
              <w:rPr>
                <w:color w:val="000000"/>
              </w:rPr>
              <w:t>   9. У разі ненадання послуг або надання їх не в повному обсязі, відхилення їх кількісних і якісних показн</w:t>
            </w:r>
            <w:r>
              <w:rPr>
                <w:color w:val="000000"/>
              </w:rPr>
              <w:t>иків від нормативних виконавець проводить перерахунок розміру плати.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Права та обов'язки сторін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10. Споживач має право на: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своєчасне отримання послуг належної якості згідно із законодавством;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2) усунення виконавцем виявлених недоліків у наданні пос</w:t>
      </w:r>
      <w:r>
        <w:rPr>
          <w:color w:val="000000"/>
        </w:rPr>
        <w:t xml:space="preserve">луг у встановлені законодавством строки;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зменшення розміру плати за надані послуги у разі їх ненадання або надання не в повному обсязі, зниження їх якості у визначеному законодавством порядку;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4) відшкодування збитків, заподіяних його майну та (або) п</w:t>
      </w:r>
      <w:r>
        <w:rPr>
          <w:color w:val="000000"/>
        </w:rPr>
        <w:t xml:space="preserve">риміщенню, шкоди, заподіяної його життю чи здоров'ю внаслідок ненадання послуг або надання послуг неналежної якості;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5) своєчасне отримання від виконавця інформації про перелік послуг, структуру тарифу, загальну суму місячного платежу, норми споживання, р</w:t>
      </w:r>
      <w:r>
        <w:rPr>
          <w:color w:val="000000"/>
        </w:rPr>
        <w:t xml:space="preserve">ежим надання послуг, їх споживчі властивості тощо;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проведення перевірки кількісних та якісних показників надання послуг в установленому Кабінетом Міністрів України порядку;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7) зменшення розміру плати за перевищення строків проведення ремонтно-профілак</w:t>
      </w:r>
      <w:r>
        <w:rPr>
          <w:color w:val="000000"/>
        </w:rPr>
        <w:t xml:space="preserve">тичних робіт та отримання компенсації за перевищення встановлених строків проведення аварійно-відбудовних робіт у розмірі, встановленому законодавством;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внесення за погодженням з виконавцем у договір змін, що впливають на розмір плати за послуги.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11. </w:t>
      </w:r>
      <w:r>
        <w:rPr>
          <w:color w:val="000000"/>
        </w:rPr>
        <w:t xml:space="preserve">Споживач зобов'язаний: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оплачувати послуги в установлений цим договором строк;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своєчасно інформувати виконавця про виявлення несправностей в інженерних мережах, конструктивних елементах належного йому приміщення;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дотримуватися санітарно-гігієнічних і протипожежних правил;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4) забезпечувати безперешкодний доступ представників виконавця за наявності у них відповідного посвідчення до мережі, арматури та розподільних систем з метою: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ліквідації аварій - цілодобово;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встановлення і заміни санітарно-технічного та інженерного обладнання, проведення профілактичного огляду - згідно з вимогами нормативно-правових актів у сфері житлово-комунальних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5) у разі несвоєчасного внесення платежів сплачувати пеню у розмірі,</w:t>
      </w:r>
      <w:r>
        <w:rPr>
          <w:color w:val="000000"/>
        </w:rPr>
        <w:t xml:space="preserve"> встановленому законом /договором;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проводити за рахунок власних коштів ремонт квартири (житлового приміщення у гуртожитку), нежитлового приміщення у житловому будинку (гуртожитку);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7) своєчасно вживати заходів до усунення пов'язаних з отриманням послу</w:t>
      </w:r>
      <w:r>
        <w:rPr>
          <w:color w:val="000000"/>
        </w:rPr>
        <w:t xml:space="preserve">г неполадок, що виникли з власної вини;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8) дотримуватися вимог житлового і містобудівного законодавства щодо проведення ремонту, реконструкції та переобладнання приміщень або їх частин, не допускати порушення законних прав та інтересів інших учасників від</w:t>
      </w:r>
      <w:r>
        <w:rPr>
          <w:color w:val="000000"/>
        </w:rPr>
        <w:t xml:space="preserve">носин у сфері житлово-комунальних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своєчасно проводити підготовку квартири (житлового приміщення у гуртожитку), нежитлового приміщення у житловому будинку (гуртожитку) та технічного обладнання до експлуатації в осінньо-зимовий період;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10) поінф</w:t>
      </w:r>
      <w:r>
        <w:rPr>
          <w:color w:val="000000"/>
        </w:rPr>
        <w:t xml:space="preserve">ормувати у десятиденний строк виконавця про втрату права на пільги.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12. Виконавець має право: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1) вимагати від споживача дотримання вимог правил утримання житлових будинків та прибудинкових територій, експлуатації житлових та нежитлових приміщень у житлов</w:t>
      </w:r>
      <w:r>
        <w:rPr>
          <w:color w:val="000000"/>
        </w:rPr>
        <w:t xml:space="preserve">их будинках (гуртожитках), санітарно-гігієнічних і протипожежних правил та інших нормативно-правових актів у сфері житлово-комунальних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2) доступу, зокрема несанкціонованого, у квартиру (житлове приміщення у гуртожитку), нежитлове приміщення у житл</w:t>
      </w:r>
      <w:r>
        <w:rPr>
          <w:color w:val="000000"/>
        </w:rPr>
        <w:t xml:space="preserve">овому будинку (гуртожитку) споживача для ліквідації аварії відповідно до встановленого законом порядку, усунення неполадок санітарно-технічного та інженерного обладнання, його встановлення і заміни, проведення технічного і профілактичного огляду;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3) нарах</w:t>
      </w:r>
      <w:r>
        <w:rPr>
          <w:color w:val="000000"/>
        </w:rPr>
        <w:t xml:space="preserve">овувати у разі несвоєчасного внесення споживачем плати за надані послуги пеню у розмірі, встановленому законом /договором;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4) вимагати від споживача своєчасного проведення робіт з усунення пов'язаних з отриманням послуг неполадок, що виникли з вини спожив</w:t>
      </w:r>
      <w:r>
        <w:rPr>
          <w:color w:val="000000"/>
        </w:rPr>
        <w:t xml:space="preserve">ача, або відшкодування вартості зазначених робіт;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вносити за погодженням із споживачем у договір зміни, що впливають на розмір плати за послуги.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13. Виконавець зобов'язаний: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1) забезпечувати своєчасне надання послуг належної якості згідно із законода</w:t>
      </w:r>
      <w:r>
        <w:rPr>
          <w:color w:val="000000"/>
        </w:rPr>
        <w:t xml:space="preserve">вством;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подавати споживачеві в установленому законодавством порядку необхідну інформацію про перелік послуг, структуру тарифу, загальну суму місячного платежу, норми споживання, режим надання послуг, їх споживчі властивості тощо;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3) утримувати внутріш</w:t>
      </w:r>
      <w:r>
        <w:rPr>
          <w:color w:val="000000"/>
        </w:rPr>
        <w:t xml:space="preserve">ньобудинкові мережі в належному технічному стані, здійснювати їх технічне обслуговування та ремонт, вживати своєчасних заходів до запобігання аварійним ситуаціям та їх ліквідації, усунення порушень щодо надання послуг в установлені законодавством строки;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розглядати у визначений законодавством строк претензії та скарги споживача і проводити відповідний перерахунок розміру плати за послуги в разі їх ненадання, надання не в повному обсязі, зниження кількісних і якісних показників;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5) сплачувати споживачев</w:t>
      </w:r>
      <w:r>
        <w:rPr>
          <w:color w:val="000000"/>
        </w:rPr>
        <w:t xml:space="preserve">і компенсацію за перевищення встановлених строків проведення аварійно-відбудовних робіт відповідно до методики, затвердженої центральним органом виконавчої влади з питань житлово-комунального господарства;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6) своєчасно ознайомлювати споживача з нормативно</w:t>
      </w:r>
      <w:r>
        <w:rPr>
          <w:color w:val="000000"/>
        </w:rPr>
        <w:t xml:space="preserve">-правовими актами у сфері житлово-комунальних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своєчасно проводити за рахунок власних коштів роботи з усунення пов'язаних з наданням послуг неполадок, що виникли з його вини;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8) відшкодовувати споживачеві збитки, завдані його майну та (або) при</w:t>
      </w:r>
      <w:r>
        <w:rPr>
          <w:color w:val="000000"/>
        </w:rPr>
        <w:t xml:space="preserve">міщенню, шкоду, заподіяну життю чи здоров'ю споживача внаслідок ненадання послуг або надання послуг неналежної якості;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здійснювати контроль за технічним станом інженерного обладнання житлових будинків (гуртожитків), квартир, приміщень;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10) своєчасно п</w:t>
      </w:r>
      <w:r>
        <w:rPr>
          <w:color w:val="000000"/>
        </w:rPr>
        <w:t xml:space="preserve">роводити підготовку житлового будинку (гуртожитку) та його технічного обладнання до експлуатації в осінньо-зимовий період.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Відповідальність сторін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14. Споживач несе відповідальність згідно із законом за: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недотримання вимог нормативно-правових актів у сфері житлово-комунальних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несвоєчасне внесення платежів за послуги шляхом сплати пені;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порушення визначених цим договором зобов'язань.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15. Виконавець несе відповідальність згідно із законом</w:t>
      </w:r>
      <w:r>
        <w:rPr>
          <w:color w:val="000000"/>
        </w:rPr>
        <w:t xml:space="preserve"> за: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неналежне надання або ненадання послуги, що призвело до заподіяння збитків майну та (або) приміщенню споживача, шкоди його життю чи здоров'ю, шляхом відшкодування збитків;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2) зниження кількісних і якісних показників послуг або перевищення строків</w:t>
      </w:r>
      <w:r>
        <w:rPr>
          <w:color w:val="000000"/>
        </w:rPr>
        <w:t xml:space="preserve"> проведення ремонтно-профілактичних робіт шляхом зменшення розміру плати. Якість надання послуг </w:t>
      </w:r>
      <w:r>
        <w:rPr>
          <w:color w:val="000000"/>
        </w:rPr>
        <w:lastRenderedPageBreak/>
        <w:t xml:space="preserve">визначається відповідно до затвердженої органом місцевого самоврядування структури тарифу, періодичності та строків надання послуг;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3) перевищення встановлених</w:t>
      </w:r>
      <w:r>
        <w:rPr>
          <w:color w:val="000000"/>
        </w:rPr>
        <w:t xml:space="preserve"> строків проведення аварійно-відбудовних робіт шляхом виплати споживачеві компенсації в установленому законодавством розмірі, _____ відсотка щомісячної плати за послугу за кожну добу її ненадання;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порушення зобов'язань, визначених цим договором.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</w:t>
      </w:r>
      <w:r>
        <w:rPr>
          <w:rFonts w:eastAsia="Times New Roman"/>
          <w:color w:val="000000"/>
        </w:rPr>
        <w:t xml:space="preserve">ок розв'язання спорів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16. У разі порушення виконавцем умов цього договору споживачем та представником виконавця складається акт-претензія із зазначенням у ньому строків, виду порушення, кількісних і якісних показників послуг тощо.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Представник виконавця п</w:t>
      </w:r>
      <w:r>
        <w:rPr>
          <w:color w:val="000000"/>
        </w:rPr>
        <w:t xml:space="preserve">овинен з'явитися за викликом споживача для підписання акта-претензії не пізніше ніж протягом двох робочих днів.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У разі неприбуття представника виконавця у визначений цим договором строк або необгрунтованої відмови від підписання акт-претензія вважається д</w:t>
      </w:r>
      <w:r>
        <w:rPr>
          <w:color w:val="000000"/>
        </w:rPr>
        <w:t xml:space="preserve">ійсним, якщо його підписали не менш як два інших споживачі.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17. Акт-претензія подається виконавцеві, який вирішує протягом трьох робочих днів питання щодо проведення перерахунку платежів або надає споживачеві обґрунтовану письмову відмову в задоволенні йо</w:t>
      </w:r>
      <w:r>
        <w:rPr>
          <w:color w:val="000000"/>
        </w:rPr>
        <w:t xml:space="preserve">го претензій.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18. Спори між сторонами розв'язуються шляхом проведення переговорів або у судовому порядку.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Форс-мажорні обставини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19. Сторони звільняються від відповідальності за цим договором у разі настання непереборної сили (дії надзвичайних ситуацій </w:t>
      </w:r>
      <w:r>
        <w:rPr>
          <w:color w:val="000000"/>
        </w:rPr>
        <w:t xml:space="preserve">техногенного, природного або екологічного характеру), що унеможливлює надання та оплату послуг відповідно до умов цього договору.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Строк дії договору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20. Цей договір набирає чинності з моменту його підписання і діє до ___ ____________ 20__ року.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У разі к</w:t>
      </w:r>
      <w:r>
        <w:rPr>
          <w:color w:val="000000"/>
        </w:rPr>
        <w:t xml:space="preserve">оли за місяць до закінчення дії цього договору однією із сторін не заявлено у письмовій формі про розірвання договору або необхідність його перегляду, цей договір вважається щороку продовженим.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21. Цей договір може бути розірваний достроково у разі: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пере</w:t>
      </w:r>
      <w:r>
        <w:rPr>
          <w:color w:val="000000"/>
        </w:rPr>
        <w:t xml:space="preserve">ходу права власності (користування) на квартиру (житлове приміщення у гуртожитку), нежитлове приміщення у житловому будинку (гуртожитку) до іншої особи;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невиконання його сторонами умов цього договору.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>22. Цей договір складено у двох примірниках, один з я</w:t>
      </w:r>
      <w:r>
        <w:rPr>
          <w:color w:val="000000"/>
        </w:rPr>
        <w:t xml:space="preserve">ких зберігається у споживача, другий - у виконавця. </w:t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Інші умови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14A3F">
            <w:pPr>
              <w:pStyle w:val="NormalWeb"/>
              <w:jc w:val="both"/>
            </w:pPr>
            <w:r>
              <w:rPr>
                <w:color w:val="000000"/>
              </w:rPr>
              <w:t>______________________________________________________________________________________</w:t>
            </w:r>
            <w:r>
              <w:rPr>
                <w:color w:val="000000"/>
              </w:rPr>
              <w:br/>
              <w:t>______________________________________________________________________________________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Адреса і підписи сторін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Виконавець </w:t>
            </w:r>
          </w:p>
        </w:tc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Споживач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(прізвище, ім'я та по батькові)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(адреса)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(номер телефону)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t>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(прізвище, ім'я та по батькові)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(адреса)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(номер телефону)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МП </w:t>
            </w:r>
          </w:p>
        </w:tc>
        <w:tc>
          <w:tcPr>
            <w:tcW w:w="250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МП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C14A3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Довідкові відомості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6603"/>
      </w:tblGrid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Телефони виконавця: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Диспетчерська, аварійна служба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Бухгалтерія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Паспортисти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Майстри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Головний інженер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850" w:type="pct"/>
            <w:vAlign w:val="center"/>
            <w:hideMark/>
          </w:tcPr>
          <w:p w:rsidR="00000000" w:rsidRDefault="00C14A3F">
            <w:pPr>
              <w:pStyle w:val="NormalWeb"/>
            </w:pPr>
            <w:r>
              <w:rPr>
                <w:color w:val="000000"/>
              </w:rPr>
              <w:t>Директор </w:t>
            </w:r>
          </w:p>
        </w:tc>
        <w:tc>
          <w:tcPr>
            <w:tcW w:w="3150" w:type="pct"/>
            <w:vAlign w:val="center"/>
            <w:hideMark/>
          </w:tcPr>
          <w:p w:rsidR="00000000" w:rsidRDefault="00C14A3F">
            <w:pPr>
              <w:pStyle w:val="NormalWeb"/>
              <w:jc w:val="center"/>
            </w:pPr>
            <w:r>
              <w:rPr>
                <w:color w:val="000000"/>
              </w:rPr>
              <w:t>_____________________________________________________ </w:t>
            </w:r>
          </w:p>
        </w:tc>
      </w:tr>
    </w:tbl>
    <w:p w:rsidR="00000000" w:rsidRDefault="00C14A3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C14A3F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____________ </w:t>
      </w:r>
    </w:p>
    <w:p w:rsidR="00000000" w:rsidRDefault="00C14A3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14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C14A3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14A3F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compat/>
  <w:rsids>
    <w:rsidRoot w:val="006442E0"/>
    <w:rsid w:val="006442E0"/>
    <w:rsid w:val="00C1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5367</Words>
  <Characters>39491</Characters>
  <Application>Microsoft Office Word</Application>
  <DocSecurity>0</DocSecurity>
  <Lines>329</Lines>
  <Paragraphs>89</Paragraphs>
  <ScaleCrop>false</ScaleCrop>
  <Company/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2009-12-03T14:47:00Z</dcterms:created>
  <dcterms:modified xsi:type="dcterms:W3CDTF">2009-12-03T14:47:00Z</dcterms:modified>
</cp:coreProperties>
</file>